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A" w:rsidRDefault="00A01EEA" w:rsidP="005F5211">
      <w:pPr>
        <w:pStyle w:val="Bezodstpw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2"/>
          <w:szCs w:val="32"/>
          <w:lang w:bidi="en-US"/>
        </w:rPr>
        <w:sectPr w:rsidR="00A01EEA" w:rsidSect="003C67C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8391" w:h="11907" w:code="11"/>
          <w:pgMar w:top="852" w:right="1020" w:bottom="1418" w:left="1276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11"/>
      </w:tblGrid>
      <w:tr w:rsidR="00A01EEA" w:rsidRPr="003F13B1" w:rsidTr="005F5211">
        <w:trPr>
          <w:trHeight w:val="2880"/>
          <w:jc w:val="center"/>
        </w:trPr>
        <w:tc>
          <w:tcPr>
            <w:tcW w:w="5000" w:type="pct"/>
          </w:tcPr>
          <w:p w:rsidR="00A01EEA" w:rsidRPr="003F13B1" w:rsidRDefault="00A01EEA" w:rsidP="005F5211">
            <w:pPr>
              <w:pStyle w:val="Bezodstpw"/>
              <w:spacing w:before="100" w:beforeAutospacing="1" w:after="100" w:afterAutospacing="1"/>
              <w:jc w:val="center"/>
              <w:rPr>
                <w:rFonts w:ascii="Cambria" w:eastAsia="Times New Roman" w:hAnsi="Cambria"/>
                <w:caps/>
                <w:color w:val="000000"/>
              </w:rPr>
            </w:pPr>
            <w:r w:rsidRPr="003F13B1">
              <w:rPr>
                <w:rFonts w:eastAsia="Times New Roman"/>
                <w:b/>
                <w:bCs/>
                <w:color w:val="000000"/>
                <w:sz w:val="32"/>
                <w:szCs w:val="32"/>
                <w:lang w:bidi="en-US"/>
              </w:rPr>
              <w:lastRenderedPageBreak/>
              <w:t>DK Wydawnictwo Sp. z o.o.</w:t>
            </w:r>
          </w:p>
        </w:tc>
      </w:tr>
      <w:tr w:rsidR="00A01EEA" w:rsidRPr="003F13B1" w:rsidTr="005F521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01EEA" w:rsidRPr="003F13B1" w:rsidRDefault="00A01EEA" w:rsidP="005F5211">
            <w:pPr>
              <w:pStyle w:val="Bezodstpw"/>
              <w:spacing w:before="100" w:beforeAutospacing="1" w:after="100" w:afterAutospacing="1"/>
              <w:jc w:val="center"/>
              <w:rPr>
                <w:rFonts w:ascii="Cambria" w:eastAsia="Times New Roman" w:hAnsi="Cambria"/>
                <w:color w:val="000000"/>
                <w:sz w:val="96"/>
                <w:szCs w:val="96"/>
              </w:rPr>
            </w:pPr>
            <w:r w:rsidRPr="003F13B1">
              <w:rPr>
                <w:rFonts w:ascii="Cambria" w:eastAsia="Times New Roman" w:hAnsi="Cambria"/>
                <w:color w:val="000000"/>
                <w:sz w:val="96"/>
                <w:szCs w:val="96"/>
              </w:rPr>
              <w:t>VAT 2015 r.</w:t>
            </w:r>
          </w:p>
        </w:tc>
      </w:tr>
      <w:tr w:rsidR="00A01EEA" w:rsidRPr="003F13B1" w:rsidTr="005F521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01EEA" w:rsidRPr="003F13B1" w:rsidRDefault="00A01EEA" w:rsidP="005F5211">
            <w:pPr>
              <w:pStyle w:val="Bezodstpw"/>
              <w:spacing w:before="100" w:beforeAutospacing="1" w:after="100" w:afterAutospacing="1"/>
              <w:jc w:val="center"/>
              <w:rPr>
                <w:rFonts w:ascii="Cambria" w:eastAsia="Times New Roman" w:hAnsi="Cambria"/>
                <w:color w:val="000000"/>
                <w:sz w:val="44"/>
                <w:szCs w:val="44"/>
              </w:rPr>
            </w:pPr>
            <w:r w:rsidRPr="003F13B1">
              <w:rPr>
                <w:rFonts w:ascii="Cambria" w:eastAsia="Times New Roman" w:hAnsi="Cambria"/>
                <w:color w:val="000000"/>
                <w:sz w:val="44"/>
                <w:szCs w:val="44"/>
              </w:rPr>
              <w:t xml:space="preserve">Zmiany od 1 lipca 2015 r. </w:t>
            </w:r>
          </w:p>
          <w:p w:rsidR="00A01EEA" w:rsidRPr="003F13B1" w:rsidRDefault="00A01EEA" w:rsidP="005F5211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44"/>
                <w:szCs w:val="44"/>
              </w:rPr>
            </w:pPr>
            <w:r w:rsidRPr="003F13B1">
              <w:rPr>
                <w:rFonts w:ascii="Cambria" w:eastAsia="Times New Roman" w:hAnsi="Cambria"/>
                <w:color w:val="000000"/>
                <w:sz w:val="44"/>
                <w:szCs w:val="44"/>
              </w:rPr>
              <w:t xml:space="preserve"> i praktyczne problemy </w:t>
            </w:r>
          </w:p>
        </w:tc>
      </w:tr>
      <w:tr w:rsidR="00A01EEA" w:rsidRPr="003F13B1" w:rsidTr="005F5211">
        <w:trPr>
          <w:trHeight w:val="360"/>
          <w:jc w:val="center"/>
        </w:trPr>
        <w:tc>
          <w:tcPr>
            <w:tcW w:w="5000" w:type="pct"/>
            <w:vAlign w:val="center"/>
          </w:tcPr>
          <w:p w:rsidR="00A01EEA" w:rsidRPr="003F13B1" w:rsidRDefault="00A01EEA" w:rsidP="005F5211">
            <w:pPr>
              <w:pStyle w:val="Bezodstpw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A01EEA" w:rsidRPr="003F13B1" w:rsidTr="005F5211">
        <w:trPr>
          <w:trHeight w:val="360"/>
          <w:jc w:val="center"/>
        </w:trPr>
        <w:tc>
          <w:tcPr>
            <w:tcW w:w="5000" w:type="pct"/>
            <w:vAlign w:val="center"/>
          </w:tcPr>
          <w:p w:rsidR="00A01EEA" w:rsidRPr="003F13B1" w:rsidRDefault="00A01EEA" w:rsidP="005F5211">
            <w:pPr>
              <w:pStyle w:val="Bezodstpw"/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3F13B1">
              <w:rPr>
                <w:b/>
                <w:bCs/>
                <w:color w:val="000000"/>
              </w:rPr>
              <w:t>Dorota Kosacka, Bogdan Olszewski</w:t>
            </w:r>
          </w:p>
        </w:tc>
      </w:tr>
    </w:tbl>
    <w:p w:rsidR="00A01EEA" w:rsidRPr="003F13B1" w:rsidRDefault="00A01EEA" w:rsidP="00A01EEA"/>
    <w:p w:rsidR="00A01EEA" w:rsidRPr="003F13B1" w:rsidRDefault="00A01EEA" w:rsidP="00A01EEA">
      <w:pPr>
        <w:ind w:firstLine="0"/>
        <w:sectPr w:rsidR="00A01EEA" w:rsidRPr="003F13B1" w:rsidSect="00A01EEA">
          <w:type w:val="continuous"/>
          <w:pgSz w:w="8391" w:h="11907" w:code="11"/>
          <w:pgMar w:top="852" w:right="1020" w:bottom="1418" w:left="1276" w:header="709" w:footer="709" w:gutter="0"/>
          <w:cols w:space="708"/>
          <w:titlePg/>
          <w:docGrid w:linePitch="360"/>
        </w:sectPr>
      </w:pPr>
    </w:p>
    <w:p w:rsidR="00A01EEA" w:rsidRPr="003F13B1" w:rsidRDefault="00A01EEA" w:rsidP="00A01EEA">
      <w:pPr>
        <w:ind w:firstLine="0"/>
      </w:pPr>
    </w:p>
    <w:p w:rsidR="00A01EEA" w:rsidRPr="003F13B1" w:rsidRDefault="00A01EEA" w:rsidP="00A01EEA">
      <w:pPr>
        <w:ind w:firstLine="0"/>
      </w:pPr>
      <w:r w:rsidRPr="003F13B1">
        <w:rPr>
          <w:b/>
        </w:rPr>
        <w:t>Projekt okładki:</w:t>
      </w:r>
      <w:r w:rsidRPr="003F13B1">
        <w:t xml:space="preserve"> Paulina Tomaszuk</w:t>
      </w:r>
    </w:p>
    <w:p w:rsidR="00A01EEA" w:rsidRPr="003F13B1" w:rsidRDefault="00A01EEA" w:rsidP="00A01EEA"/>
    <w:p w:rsidR="00A01EEA" w:rsidRPr="003F13B1" w:rsidRDefault="00A01EEA" w:rsidP="00A01EEA">
      <w:pPr>
        <w:ind w:firstLine="0"/>
      </w:pPr>
    </w:p>
    <w:p w:rsidR="00A01EEA" w:rsidRPr="003F13B1" w:rsidRDefault="00A01EEA" w:rsidP="00A01EEA">
      <w:pPr>
        <w:ind w:firstLine="0"/>
      </w:pPr>
    </w:p>
    <w:p w:rsidR="00A01EEA" w:rsidRPr="003F13B1" w:rsidRDefault="00A01EEA" w:rsidP="00A01EEA">
      <w:pPr>
        <w:ind w:firstLine="0"/>
      </w:pPr>
    </w:p>
    <w:p w:rsidR="00A01EEA" w:rsidRPr="003F13B1" w:rsidRDefault="00A01EEA" w:rsidP="00A01EEA">
      <w:pPr>
        <w:ind w:firstLine="0"/>
      </w:pPr>
      <w:r w:rsidRPr="003F13B1">
        <w:rPr>
          <w:rFonts w:eastAsia="Times New Roman"/>
          <w:color w:val="000000"/>
          <w:sz w:val="20"/>
        </w:rPr>
        <w:t xml:space="preserve">© Copyright by </w:t>
      </w:r>
      <w:r w:rsidRPr="003F13B1">
        <w:t>DK Wydawnictwo Spółka z o.o., Białystok 2015</w:t>
      </w:r>
    </w:p>
    <w:p w:rsidR="00A01EEA" w:rsidRPr="003F13B1" w:rsidRDefault="00A01EEA" w:rsidP="00A01EEA"/>
    <w:p w:rsidR="00A01EEA" w:rsidRPr="003F13B1" w:rsidRDefault="00A01EEA" w:rsidP="00A01EEA">
      <w:pPr>
        <w:ind w:firstLine="0"/>
        <w:rPr>
          <w:b/>
          <w:lang w:val="pl-PL"/>
        </w:rPr>
      </w:pPr>
      <w:bookmarkStart w:id="0" w:name="_Toc404942024"/>
      <w:bookmarkStart w:id="1" w:name="_Toc405532702"/>
      <w:bookmarkStart w:id="2" w:name="_Toc405648235"/>
      <w:r w:rsidRPr="003F13B1">
        <w:rPr>
          <w:b/>
        </w:rPr>
        <w:t>ISBN</w:t>
      </w:r>
      <w:bookmarkEnd w:id="0"/>
      <w:bookmarkEnd w:id="1"/>
      <w:bookmarkEnd w:id="2"/>
      <w:r w:rsidRPr="003F13B1">
        <w:rPr>
          <w:b/>
          <w:lang w:val="pl-PL"/>
        </w:rPr>
        <w:t xml:space="preserve"> 978-83-64227-17-2</w:t>
      </w:r>
    </w:p>
    <w:p w:rsidR="00A01EEA" w:rsidRPr="003F13B1" w:rsidRDefault="00A01EEA" w:rsidP="00A01EEA">
      <w:pPr>
        <w:spacing w:line="360" w:lineRule="auto"/>
      </w:pPr>
    </w:p>
    <w:p w:rsidR="00A01EEA" w:rsidRPr="003F13B1" w:rsidRDefault="00A01EEA" w:rsidP="00A01EEA">
      <w:pPr>
        <w:spacing w:line="360" w:lineRule="auto"/>
        <w:ind w:firstLine="0"/>
      </w:pPr>
      <w:bookmarkStart w:id="3" w:name="_Toc404942025"/>
      <w:bookmarkStart w:id="4" w:name="_Toc405532703"/>
      <w:bookmarkStart w:id="5" w:name="_Toc405648236"/>
    </w:p>
    <w:p w:rsidR="00A01EEA" w:rsidRPr="003F13B1" w:rsidRDefault="00A01EEA" w:rsidP="00A01EEA">
      <w:pPr>
        <w:spacing w:line="360" w:lineRule="auto"/>
        <w:ind w:firstLine="0"/>
      </w:pPr>
    </w:p>
    <w:p w:rsidR="00A01EEA" w:rsidRPr="003F13B1" w:rsidRDefault="00A01EEA" w:rsidP="00A01EEA">
      <w:pPr>
        <w:spacing w:line="360" w:lineRule="auto"/>
        <w:ind w:firstLine="0"/>
      </w:pPr>
    </w:p>
    <w:p w:rsidR="00A01EEA" w:rsidRPr="003F13B1" w:rsidRDefault="00A01EEA" w:rsidP="00A01EEA">
      <w:pPr>
        <w:spacing w:line="360" w:lineRule="auto"/>
        <w:ind w:firstLine="0"/>
        <w:rPr>
          <w:b/>
        </w:rPr>
      </w:pPr>
      <w:r w:rsidRPr="003F13B1">
        <w:rPr>
          <w:b/>
        </w:rPr>
        <w:t>Wydawca:</w:t>
      </w:r>
      <w:bookmarkEnd w:id="3"/>
      <w:bookmarkEnd w:id="4"/>
      <w:bookmarkEnd w:id="5"/>
    </w:p>
    <w:p w:rsidR="00A01EEA" w:rsidRPr="003F13B1" w:rsidRDefault="00A01EEA" w:rsidP="00A01EEA">
      <w:pPr>
        <w:spacing w:line="360" w:lineRule="auto"/>
        <w:ind w:firstLine="0"/>
        <w:rPr>
          <w:b/>
        </w:rPr>
      </w:pPr>
      <w:bookmarkStart w:id="6" w:name="_Toc404942026"/>
      <w:bookmarkStart w:id="7" w:name="_Toc405532704"/>
      <w:bookmarkStart w:id="8" w:name="_Toc405648237"/>
      <w:r w:rsidRPr="003F13B1">
        <w:rPr>
          <w:b/>
        </w:rPr>
        <w:t>DK Wydawnictwo Spółka z o.o.</w:t>
      </w:r>
      <w:bookmarkEnd w:id="6"/>
      <w:bookmarkEnd w:id="7"/>
      <w:bookmarkEnd w:id="8"/>
    </w:p>
    <w:p w:rsidR="00A01EEA" w:rsidRPr="003F13B1" w:rsidRDefault="00A01EEA" w:rsidP="00A01EEA">
      <w:pPr>
        <w:spacing w:line="360" w:lineRule="auto"/>
        <w:ind w:firstLine="0"/>
      </w:pPr>
      <w:r w:rsidRPr="003F13B1">
        <w:t>ul. Broniewskiego 4 lok 209, 15-792 Białystok</w:t>
      </w:r>
    </w:p>
    <w:p w:rsidR="00A01EEA" w:rsidRPr="003F13B1" w:rsidRDefault="00A01EEA" w:rsidP="00A01EEA">
      <w:pPr>
        <w:spacing w:line="360" w:lineRule="auto"/>
        <w:ind w:firstLine="0"/>
      </w:pPr>
      <w:r w:rsidRPr="003F13B1">
        <w:t>tel./fax (85) 831-13 30 lub (85) 831 13 31</w:t>
      </w:r>
    </w:p>
    <w:p w:rsidR="00A01EEA" w:rsidRPr="003F13B1" w:rsidRDefault="00A01EEA" w:rsidP="00A01EEA">
      <w:pPr>
        <w:spacing w:line="360" w:lineRule="auto"/>
        <w:ind w:firstLine="0"/>
        <w:rPr>
          <w:color w:val="000000"/>
          <w:lang w:val="en-US"/>
        </w:rPr>
      </w:pPr>
      <w:r w:rsidRPr="003F13B1">
        <w:rPr>
          <w:color w:val="000000"/>
          <w:lang w:val="en-US"/>
        </w:rPr>
        <w:t xml:space="preserve">e-mail: </w:t>
      </w:r>
      <w:hyperlink r:id="rId12" w:history="1">
        <w:r w:rsidRPr="003F13B1">
          <w:rPr>
            <w:color w:val="000000"/>
            <w:u w:val="single"/>
            <w:lang w:val="en-US"/>
          </w:rPr>
          <w:t>biuro@kosacka.pl</w:t>
        </w:r>
      </w:hyperlink>
      <w:r w:rsidRPr="003F13B1">
        <w:rPr>
          <w:color w:val="000000"/>
          <w:lang w:val="en-US"/>
        </w:rPr>
        <w:t xml:space="preserve">           </w:t>
      </w:r>
      <w:hyperlink r:id="rId13" w:history="1">
        <w:r w:rsidRPr="003F13B1">
          <w:rPr>
            <w:color w:val="000000"/>
            <w:u w:val="single"/>
            <w:lang w:val="en-US"/>
          </w:rPr>
          <w:t>www.kosacka.pl</w:t>
        </w:r>
      </w:hyperlink>
    </w:p>
    <w:p w:rsidR="00A01EEA" w:rsidRPr="003F13B1" w:rsidRDefault="00A01EEA" w:rsidP="00A01EEA">
      <w:pPr>
        <w:spacing w:line="360" w:lineRule="auto"/>
        <w:rPr>
          <w:lang w:val="en-US"/>
        </w:rPr>
      </w:pPr>
    </w:p>
    <w:p w:rsidR="00A01EEA" w:rsidRPr="003F13B1" w:rsidRDefault="00A01EEA" w:rsidP="00A01EEA">
      <w:pPr>
        <w:spacing w:line="360" w:lineRule="auto"/>
        <w:ind w:firstLine="0"/>
        <w:rPr>
          <w:b/>
        </w:rPr>
      </w:pPr>
      <w:bookmarkStart w:id="9" w:name="_Toc404942027"/>
      <w:bookmarkStart w:id="10" w:name="_Toc405532705"/>
      <w:bookmarkStart w:id="11" w:name="_Toc405648238"/>
    </w:p>
    <w:p w:rsidR="00A01EEA" w:rsidRPr="003F13B1" w:rsidRDefault="00A01EEA" w:rsidP="00A01EEA">
      <w:pPr>
        <w:spacing w:line="360" w:lineRule="auto"/>
        <w:ind w:firstLine="0"/>
        <w:rPr>
          <w:b/>
        </w:rPr>
      </w:pPr>
    </w:p>
    <w:p w:rsidR="00A01EEA" w:rsidRPr="003F13B1" w:rsidRDefault="00A01EEA" w:rsidP="00A01EEA">
      <w:pPr>
        <w:spacing w:line="360" w:lineRule="auto"/>
        <w:ind w:firstLine="0"/>
        <w:rPr>
          <w:b/>
        </w:rPr>
      </w:pPr>
    </w:p>
    <w:p w:rsidR="00A01EEA" w:rsidRPr="003F13B1" w:rsidRDefault="00A01EEA" w:rsidP="00A01EEA">
      <w:pPr>
        <w:spacing w:line="360" w:lineRule="auto"/>
        <w:ind w:firstLine="0"/>
        <w:rPr>
          <w:b/>
        </w:rPr>
      </w:pPr>
    </w:p>
    <w:p w:rsidR="00A01EEA" w:rsidRPr="003F13B1" w:rsidRDefault="00A01EEA" w:rsidP="00A01EEA">
      <w:pPr>
        <w:spacing w:line="360" w:lineRule="auto"/>
        <w:ind w:firstLine="0"/>
        <w:rPr>
          <w:b/>
        </w:rPr>
      </w:pPr>
      <w:r w:rsidRPr="003F13B1">
        <w:rPr>
          <w:b/>
        </w:rPr>
        <w:t>DRUK</w:t>
      </w:r>
      <w:bookmarkEnd w:id="9"/>
      <w:bookmarkEnd w:id="10"/>
      <w:r w:rsidRPr="003F13B1">
        <w:rPr>
          <w:b/>
        </w:rPr>
        <w:t>:</w:t>
      </w:r>
      <w:bookmarkEnd w:id="11"/>
    </w:p>
    <w:p w:rsidR="00A01EEA" w:rsidRPr="003F13B1" w:rsidRDefault="00A01EEA" w:rsidP="00A01EEA">
      <w:pPr>
        <w:spacing w:line="360" w:lineRule="auto"/>
        <w:ind w:firstLine="0"/>
      </w:pPr>
      <w:bookmarkStart w:id="12" w:name="_Toc405648239"/>
      <w:r w:rsidRPr="003F13B1">
        <w:t>BookPress.eu</w:t>
      </w:r>
      <w:bookmarkEnd w:id="12"/>
    </w:p>
    <w:p w:rsidR="00A01EEA" w:rsidRPr="003F13B1" w:rsidRDefault="00A01EEA" w:rsidP="00A01EEA">
      <w:pPr>
        <w:spacing w:line="360" w:lineRule="auto"/>
        <w:ind w:firstLine="0"/>
      </w:pPr>
      <w:bookmarkStart w:id="13" w:name="_Toc405648240"/>
      <w:r w:rsidRPr="003F13B1">
        <w:t>ul. Struga 2</w:t>
      </w:r>
      <w:bookmarkEnd w:id="13"/>
    </w:p>
    <w:p w:rsidR="00A01EEA" w:rsidRPr="003F13B1" w:rsidRDefault="00A01EEA" w:rsidP="00A01EEA">
      <w:pPr>
        <w:spacing w:line="360" w:lineRule="auto"/>
        <w:ind w:firstLine="0"/>
      </w:pPr>
      <w:bookmarkStart w:id="14" w:name="_Toc405648241"/>
      <w:r w:rsidRPr="003F13B1">
        <w:t>10-270 Olsztyn</w:t>
      </w:r>
      <w:bookmarkEnd w:id="14"/>
    </w:p>
    <w:p w:rsidR="00A01EEA" w:rsidRPr="003F13B1" w:rsidRDefault="00A01EEA" w:rsidP="00A01EEA">
      <w:pPr>
        <w:pStyle w:val="Nagwek1"/>
        <w:rPr>
          <w:sz w:val="28"/>
          <w:szCs w:val="28"/>
          <w:lang w:val="pl-PL"/>
        </w:rPr>
        <w:sectPr w:rsidR="00A01EEA" w:rsidRPr="003F13B1" w:rsidSect="003C67CC">
          <w:footerReference w:type="first" r:id="rId14"/>
          <w:pgSz w:w="8391" w:h="11907" w:code="11"/>
          <w:pgMar w:top="852" w:right="1020" w:bottom="1418" w:left="1276" w:header="709" w:footer="709" w:gutter="0"/>
          <w:cols w:space="708"/>
          <w:titlePg/>
          <w:docGrid w:linePitch="360"/>
        </w:sectPr>
      </w:pPr>
    </w:p>
    <w:p w:rsidR="00A01EEA" w:rsidRPr="003F13B1" w:rsidRDefault="00A01EEA" w:rsidP="00A01EEA">
      <w:pPr>
        <w:pStyle w:val="Nagwek1"/>
        <w:rPr>
          <w:sz w:val="28"/>
          <w:szCs w:val="28"/>
          <w:lang w:val="pl-PL"/>
        </w:rPr>
      </w:pPr>
      <w:bookmarkStart w:id="15" w:name="_GoBack"/>
      <w:r w:rsidRPr="003F13B1">
        <w:rPr>
          <w:sz w:val="28"/>
          <w:szCs w:val="28"/>
          <w:lang w:val="pl-PL"/>
        </w:rPr>
        <w:lastRenderedPageBreak/>
        <w:t>Spis treści</w:t>
      </w:r>
    </w:p>
    <w:bookmarkEnd w:id="15"/>
    <w:p w:rsidR="00A01EEA" w:rsidRPr="003F13B1" w:rsidRDefault="00A01EEA" w:rsidP="00A01EEA">
      <w:pPr>
        <w:ind w:firstLine="0"/>
        <w:rPr>
          <w:lang w:val="pl-PL" w:eastAsia="en-US"/>
        </w:rPr>
      </w:pPr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after="80"/>
        <w:mirrorIndents/>
        <w:rPr>
          <w:b w:val="0"/>
        </w:rPr>
      </w:pPr>
      <w:r w:rsidRPr="003F13B1">
        <w:fldChar w:fldCharType="begin"/>
      </w:r>
      <w:r w:rsidRPr="003F13B1">
        <w:instrText xml:space="preserve"> TOC \o "1-4" \h \z \u </w:instrText>
      </w:r>
      <w:r w:rsidRPr="003F13B1">
        <w:fldChar w:fldCharType="separate"/>
      </w:r>
      <w:hyperlink w:anchor="_Toc423977245" w:history="1">
        <w:r w:rsidRPr="003F13B1">
          <w:rPr>
            <w:rStyle w:val="Hipercze"/>
          </w:rPr>
          <w:t>WSTĘP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_Toc423977245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13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 w:after="80"/>
        <w:mirrorIndents/>
        <w:rPr>
          <w:b w:val="0"/>
        </w:rPr>
      </w:pPr>
      <w:hyperlink w:anchor="_Toc423977246" w:history="1">
        <w:r w:rsidRPr="003F13B1">
          <w:rPr>
            <w:rStyle w:val="Hipercze"/>
          </w:rPr>
          <w:t>WYKAZ SKRÓTÓW: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_Toc423977246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15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 w:after="80"/>
        <w:mirrorIndents/>
        <w:rPr>
          <w:b w:val="0"/>
        </w:rPr>
      </w:pPr>
      <w:hyperlink w:anchor="_Toc423977247" w:history="1">
        <w:r w:rsidRPr="003F13B1">
          <w:rPr>
            <w:rStyle w:val="Hipercze"/>
          </w:rPr>
          <w:t>ROZDZIAŁ I</w:t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after="80"/>
        <w:mirrorIndents/>
        <w:rPr>
          <w:b w:val="0"/>
        </w:rPr>
      </w:pPr>
      <w:hyperlink w:anchor="_Toc423977248" w:history="1">
        <w:r w:rsidRPr="003F13B1">
          <w:rPr>
            <w:rStyle w:val="Hipercze"/>
          </w:rPr>
          <w:t>ODWROTNE OBCIĄŻENIE</w:t>
        </w:r>
      </w:hyperlink>
      <w:r w:rsidRPr="003F13B1">
        <w:rPr>
          <w:b w:val="0"/>
        </w:rPr>
        <w:t xml:space="preserve"> </w:t>
      </w:r>
      <w:hyperlink w:anchor="_Toc423977249" w:history="1">
        <w:r w:rsidRPr="003F13B1">
          <w:rPr>
            <w:rStyle w:val="Hipercze"/>
          </w:rPr>
          <w:t>OD 1 LIPCA 2015 r.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_Toc423977249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17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spacing w:after="80"/>
        <w:ind w:right="0"/>
        <w:mirrorIndents/>
        <w:rPr>
          <w:rFonts w:eastAsiaTheme="minorEastAsia"/>
          <w:caps/>
          <w:noProof/>
          <w:lang w:val="pl-PL" w:eastAsia="pl-PL"/>
        </w:rPr>
      </w:pPr>
      <w:hyperlink w:anchor="_Toc423977250" w:history="1">
        <w:r w:rsidRPr="003F13B1">
          <w:rPr>
            <w:rStyle w:val="Hipercze"/>
            <w:caps/>
            <w:noProof/>
            <w:sz w:val="20"/>
            <w:szCs w:val="20"/>
          </w:rPr>
          <w:t>1. ODWROTNE OBCIĄŻENIE</w:t>
        </w:r>
        <w:r w:rsidRPr="003F13B1">
          <w:rPr>
            <w:rStyle w:val="Hipercze"/>
            <w:caps/>
            <w:noProof/>
            <w:sz w:val="20"/>
            <w:szCs w:val="20"/>
            <w:lang w:val="pl-PL"/>
          </w:rPr>
          <w:t xml:space="preserve"> -</w:t>
        </w:r>
        <w:r w:rsidRPr="003F13B1">
          <w:rPr>
            <w:rStyle w:val="Hipercze"/>
            <w:caps/>
            <w:noProof/>
            <w:sz w:val="20"/>
            <w:szCs w:val="20"/>
          </w:rPr>
          <w:t xml:space="preserve"> ZASADY ROZLICZANIA VAT</w:t>
        </w:r>
        <w:r w:rsidRPr="003F13B1">
          <w:rPr>
            <w:caps/>
            <w:noProof/>
            <w:webHidden/>
          </w:rPr>
          <w:tab/>
        </w:r>
        <w:r w:rsidRPr="003F13B1">
          <w:rPr>
            <w:caps/>
            <w:noProof/>
            <w:webHidden/>
          </w:rPr>
          <w:fldChar w:fldCharType="begin"/>
        </w:r>
        <w:r w:rsidRPr="003F13B1">
          <w:rPr>
            <w:caps/>
            <w:noProof/>
            <w:webHidden/>
          </w:rPr>
          <w:instrText xml:space="preserve"> PAGEREF _Toc423977250 \h </w:instrText>
        </w:r>
        <w:r w:rsidRPr="003F13B1">
          <w:rPr>
            <w:caps/>
            <w:noProof/>
            <w:webHidden/>
          </w:rPr>
        </w:r>
        <w:r w:rsidRPr="003F13B1">
          <w:rPr>
            <w:caps/>
            <w:noProof/>
            <w:webHidden/>
          </w:rPr>
          <w:fldChar w:fldCharType="separate"/>
        </w:r>
        <w:r>
          <w:rPr>
            <w:caps/>
            <w:noProof/>
            <w:webHidden/>
          </w:rPr>
          <w:t>17</w:t>
        </w:r>
        <w:r w:rsidRPr="003F13B1">
          <w:rPr>
            <w:caps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spacing w:after="80"/>
        <w:ind w:right="0"/>
        <w:mirrorIndents/>
        <w:rPr>
          <w:rFonts w:eastAsiaTheme="minorEastAsia"/>
          <w:caps/>
          <w:noProof/>
          <w:lang w:val="pl-PL" w:eastAsia="pl-PL"/>
        </w:rPr>
      </w:pPr>
      <w:hyperlink w:anchor="_Toc423977251" w:history="1">
        <w:r w:rsidRPr="003F13B1">
          <w:rPr>
            <w:rStyle w:val="Hipercze"/>
            <w:caps/>
            <w:noProof/>
            <w:sz w:val="20"/>
            <w:szCs w:val="20"/>
          </w:rPr>
          <w:t>2.ZMIANY W ZAKRESIE ODWROTNEGO OBCIĄŻENIA</w:t>
        </w:r>
        <w:r w:rsidRPr="003F13B1">
          <w:rPr>
            <w:rStyle w:val="Hipercze"/>
            <w:caps/>
            <w:noProof/>
            <w:sz w:val="20"/>
            <w:szCs w:val="20"/>
          </w:rPr>
          <w:br/>
          <w:t>OD 1 LIPCA 2015 r.</w:t>
        </w:r>
        <w:r w:rsidRPr="003F13B1">
          <w:rPr>
            <w:caps/>
            <w:noProof/>
            <w:webHidden/>
          </w:rPr>
          <w:tab/>
        </w:r>
        <w:r w:rsidRPr="003F13B1">
          <w:rPr>
            <w:caps/>
            <w:noProof/>
            <w:webHidden/>
          </w:rPr>
          <w:fldChar w:fldCharType="begin"/>
        </w:r>
        <w:r w:rsidRPr="003F13B1">
          <w:rPr>
            <w:caps/>
            <w:noProof/>
            <w:webHidden/>
          </w:rPr>
          <w:instrText xml:space="preserve"> PAGEREF _Toc423977251 \h </w:instrText>
        </w:r>
        <w:r w:rsidRPr="003F13B1">
          <w:rPr>
            <w:caps/>
            <w:noProof/>
            <w:webHidden/>
          </w:rPr>
        </w:r>
        <w:r w:rsidRPr="003F13B1">
          <w:rPr>
            <w:caps/>
            <w:noProof/>
            <w:webHidden/>
          </w:rPr>
          <w:fldChar w:fldCharType="separate"/>
        </w:r>
        <w:r>
          <w:rPr>
            <w:caps/>
            <w:noProof/>
            <w:webHidden/>
          </w:rPr>
          <w:t>19</w:t>
        </w:r>
        <w:r w:rsidRPr="003F13B1">
          <w:rPr>
            <w:caps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caps/>
          <w:noProof/>
          <w:lang w:val="pl-PL" w:eastAsia="pl-PL"/>
        </w:rPr>
      </w:pPr>
      <w:hyperlink w:anchor="_Toc423977252" w:history="1">
        <w:r w:rsidRPr="003F13B1">
          <w:rPr>
            <w:rStyle w:val="Hipercze"/>
            <w:caps/>
            <w:noProof/>
            <w:sz w:val="20"/>
            <w:szCs w:val="20"/>
          </w:rPr>
          <w:t>3. TOWARY OBJĘTE ODWROTNYM OBCIĄŻENIEM</w:t>
        </w:r>
        <w:r w:rsidRPr="003F13B1">
          <w:rPr>
            <w:caps/>
            <w:noProof/>
            <w:webHidden/>
          </w:rPr>
          <w:tab/>
        </w:r>
        <w:r w:rsidRPr="003F13B1">
          <w:rPr>
            <w:caps/>
            <w:noProof/>
            <w:webHidden/>
          </w:rPr>
          <w:fldChar w:fldCharType="begin"/>
        </w:r>
        <w:r w:rsidRPr="003F13B1">
          <w:rPr>
            <w:caps/>
            <w:noProof/>
            <w:webHidden/>
          </w:rPr>
          <w:instrText xml:space="preserve"> PAGEREF _Toc423977252 \h </w:instrText>
        </w:r>
        <w:r w:rsidRPr="003F13B1">
          <w:rPr>
            <w:caps/>
            <w:noProof/>
            <w:webHidden/>
          </w:rPr>
        </w:r>
        <w:r w:rsidRPr="003F13B1">
          <w:rPr>
            <w:caps/>
            <w:noProof/>
            <w:webHidden/>
          </w:rPr>
          <w:fldChar w:fldCharType="separate"/>
        </w:r>
        <w:r>
          <w:rPr>
            <w:caps/>
            <w:noProof/>
            <w:webHidden/>
          </w:rPr>
          <w:t>20</w:t>
        </w:r>
        <w:r w:rsidRPr="003F13B1">
          <w:rPr>
            <w:caps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53" w:history="1">
        <w:r w:rsidRPr="003F13B1">
          <w:rPr>
            <w:rStyle w:val="Hipercze"/>
            <w:i/>
            <w:noProof/>
            <w:sz w:val="20"/>
            <w:szCs w:val="20"/>
          </w:rPr>
          <w:t>3.1.Wykaz towarów objętych metodą odwrotnego obciążenia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_Toc423977253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20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54" w:history="1">
        <w:r w:rsidRPr="003F13B1">
          <w:rPr>
            <w:rStyle w:val="Hipercze"/>
            <w:i/>
            <w:noProof/>
            <w:sz w:val="20"/>
            <w:szCs w:val="20"/>
          </w:rPr>
          <w:t>3.2.Rozszerzenie listy towarów objętych odwrotnym obciążeniem</w:t>
        </w:r>
        <w:r w:rsidRPr="003F13B1">
          <w:rPr>
            <w:rStyle w:val="Hipercze"/>
            <w:i/>
            <w:noProof/>
            <w:sz w:val="20"/>
            <w:szCs w:val="20"/>
          </w:rPr>
          <w:br/>
          <w:t>od 1 lipca 2015 r.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_Toc423977254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26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55" w:history="1">
        <w:r w:rsidRPr="003F13B1">
          <w:rPr>
            <w:rStyle w:val="Hipercze"/>
            <w:i/>
            <w:noProof/>
            <w:sz w:val="20"/>
            <w:szCs w:val="20"/>
          </w:rPr>
          <w:t>3.3.Dostawa zestawów a metoda odwrotnego obciążenia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_Toc423977255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28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56" w:history="1">
        <w:r w:rsidRPr="003F13B1">
          <w:rPr>
            <w:rStyle w:val="Hipercze"/>
            <w:i/>
            <w:noProof/>
            <w:sz w:val="20"/>
            <w:szCs w:val="20"/>
          </w:rPr>
          <w:t>3.4.Sprzedaż złota inwestycyjnego a metoda odwrotnego obciążenia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_Toc423977256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32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57" w:history="1">
        <w:r w:rsidRPr="003F13B1">
          <w:rPr>
            <w:rStyle w:val="Hipercze"/>
            <w:noProof/>
            <w:sz w:val="20"/>
            <w:szCs w:val="20"/>
          </w:rPr>
          <w:t>4.WARUNKI STOSOWANIA METODY ODWROTNEGO OBCIĄŻENIA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_Toc423977257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58" w:history="1">
        <w:r w:rsidRPr="003F13B1">
          <w:rPr>
            <w:rStyle w:val="Hipercze"/>
            <w:noProof/>
            <w:sz w:val="20"/>
            <w:szCs w:val="20"/>
          </w:rPr>
          <w:t>5.STATUS NABYWCY A METODA ODWROTNEGO</w:t>
        </w:r>
        <w:r w:rsidRPr="003F13B1">
          <w:rPr>
            <w:rStyle w:val="Hipercze"/>
            <w:noProof/>
            <w:sz w:val="20"/>
            <w:szCs w:val="20"/>
          </w:rPr>
          <w:br/>
          <w:t>OBCIĄŻENIA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_Toc423977258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59" w:history="1">
        <w:r w:rsidRPr="003F13B1">
          <w:rPr>
            <w:rStyle w:val="Hipercze"/>
            <w:i/>
            <w:noProof/>
            <w:sz w:val="20"/>
            <w:szCs w:val="20"/>
          </w:rPr>
          <w:t>5.1.Odwrotne obciążenie a rodzaj kontrahenta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_Toc423977259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34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60" w:history="1">
        <w:r w:rsidRPr="003F13B1">
          <w:rPr>
            <w:rStyle w:val="Hipercze"/>
            <w:i/>
            <w:noProof/>
            <w:sz w:val="20"/>
            <w:szCs w:val="20"/>
          </w:rPr>
          <w:t>5.2.Sprzedaż towarów z załącznika nr 11 dla podatnika zwolnionego a metoda odwrotnego obciążenia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_Toc423977260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36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61" w:history="1">
        <w:r w:rsidRPr="003F13B1">
          <w:rPr>
            <w:rStyle w:val="Hipercze"/>
            <w:i/>
            <w:noProof/>
            <w:sz w:val="20"/>
            <w:szCs w:val="20"/>
          </w:rPr>
          <w:t>5.3.Zgłoszenie po dostawie działania w charakterze podatnika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_Toc423977261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37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62" w:history="1">
        <w:r w:rsidRPr="003F13B1">
          <w:rPr>
            <w:rStyle w:val="Hipercze"/>
            <w:i/>
            <w:noProof/>
            <w:sz w:val="20"/>
            <w:szCs w:val="20"/>
          </w:rPr>
          <w:t>5.4.Odwrotne obciążenie a dodatkowe dokumenty do faktury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_Toc423977262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39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263" w:history="1">
        <w:r w:rsidRPr="003F13B1">
          <w:rPr>
            <w:rStyle w:val="Hipercze"/>
            <w:i/>
            <w:noProof/>
            <w:sz w:val="20"/>
            <w:szCs w:val="20"/>
          </w:rPr>
          <w:t>5.5.Weryfikacja statusu kontrahenta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_Toc423977263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39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Style w:val="Hipercze"/>
          <w:noProof/>
          <w:sz w:val="20"/>
          <w:szCs w:val="20"/>
        </w:rPr>
      </w:pPr>
      <w:r w:rsidRPr="003F13B1">
        <w:rPr>
          <w:rStyle w:val="Hipercze"/>
          <w:noProof/>
          <w:sz w:val="20"/>
          <w:szCs w:val="20"/>
        </w:rPr>
        <w:br w:type="page"/>
      </w:r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64" w:history="1">
        <w:r w:rsidRPr="003F13B1">
          <w:rPr>
            <w:rStyle w:val="Hipercze"/>
            <w:noProof/>
            <w:sz w:val="20"/>
            <w:szCs w:val="20"/>
          </w:rPr>
          <w:t>6. LIMIT KWOTOWY W PRZYPADKU DOSTAWY NIEKTÓRYCH TOWARÓW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_Toc423977264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65" w:history="1">
        <w:r w:rsidRPr="003F13B1">
          <w:rPr>
            <w:rStyle w:val="Hipercze"/>
            <w:i/>
            <w:noProof/>
            <w:sz w:val="20"/>
            <w:szCs w:val="20"/>
          </w:rPr>
          <w:t>6.1.Wartość transakcji a metoda odwrotnego obciążenia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_Toc423977265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66" w:history="1">
        <w:r w:rsidRPr="003F13B1">
          <w:rPr>
            <w:rStyle w:val="Hipercze"/>
            <w:i/>
            <w:noProof/>
            <w:sz w:val="20"/>
            <w:szCs w:val="20"/>
          </w:rPr>
          <w:t>6.2.Podstawowe zasady liczenia limitu 20.000 zł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_Toc423977266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67" w:history="1">
        <w:r w:rsidRPr="003F13B1">
          <w:rPr>
            <w:rStyle w:val="Hipercze"/>
            <w:i/>
            <w:noProof/>
            <w:sz w:val="20"/>
            <w:szCs w:val="20"/>
          </w:rPr>
          <w:t>6.3.Pojęcie jednolitej gospodarczo transakcji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_Toc423977267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68" w:history="1">
        <w:r w:rsidRPr="003F13B1">
          <w:rPr>
            <w:rStyle w:val="Hipercze"/>
            <w:i/>
            <w:noProof/>
            <w:sz w:val="20"/>
            <w:szCs w:val="20"/>
          </w:rPr>
          <w:t>6.4.Czynności nie uznawane za jednolitą gospodarczo transakcję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_Toc423977268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69" w:history="1">
        <w:r w:rsidRPr="003F13B1">
          <w:rPr>
            <w:rStyle w:val="Hipercze"/>
            <w:i/>
            <w:noProof/>
            <w:sz w:val="20"/>
            <w:szCs w:val="20"/>
          </w:rPr>
          <w:t>6.5.Kilka dostaw w krótkim odstępie czasu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_Toc423977269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70" w:history="1">
        <w:r w:rsidRPr="003F13B1">
          <w:rPr>
            <w:rStyle w:val="Hipercze"/>
            <w:i/>
            <w:noProof/>
            <w:sz w:val="20"/>
            <w:szCs w:val="20"/>
          </w:rPr>
          <w:t>6.6.Ramowe umowy o współpracę a jednolita gospodarczo transakcja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_Toc423977270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53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71" w:history="1">
        <w:r w:rsidRPr="003F13B1">
          <w:rPr>
            <w:rStyle w:val="Hipercze"/>
            <w:i/>
            <w:noProof/>
            <w:sz w:val="20"/>
            <w:szCs w:val="20"/>
          </w:rPr>
          <w:t>6.7.Wartość transakcyjna czy wartość rynkowa – sposób liczenia</w:t>
        </w:r>
        <w:r w:rsidRPr="003F13B1">
          <w:rPr>
            <w:rStyle w:val="Hipercze"/>
            <w:i/>
            <w:noProof/>
            <w:sz w:val="20"/>
            <w:szCs w:val="20"/>
          </w:rPr>
          <w:br/>
          <w:t>limitu 20.000 zł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_Toc423977271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55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72" w:history="1">
        <w:r w:rsidRPr="003F13B1">
          <w:rPr>
            <w:rStyle w:val="Hipercze"/>
            <w:i/>
            <w:noProof/>
            <w:sz w:val="20"/>
            <w:szCs w:val="20"/>
            <w:lang w:val="pl-PL" w:eastAsia="ar-SA"/>
          </w:rPr>
          <w:t xml:space="preserve">6.8. </w:t>
        </w:r>
        <w:r w:rsidRPr="003F13B1">
          <w:rPr>
            <w:rStyle w:val="Hipercze"/>
            <w:i/>
            <w:noProof/>
            <w:sz w:val="20"/>
            <w:szCs w:val="20"/>
            <w:lang w:eastAsia="ar-SA"/>
          </w:rPr>
          <w:t>Zmiana wartości dostaw w ramach jednolitej gospodarczo transakcji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_Toc423977272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57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i/>
          <w:noProof/>
          <w:sz w:val="20"/>
          <w:szCs w:val="20"/>
          <w:lang w:val="pl-PL" w:eastAsia="pl-PL"/>
        </w:rPr>
      </w:pPr>
      <w:hyperlink w:anchor="_Toc423977273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  <w:lang w:eastAsia="ar-SA"/>
          </w:rPr>
          <w:t>6.8.1.</w:t>
        </w:r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  <w:lang w:val="pl-PL" w:eastAsia="ar-SA"/>
          </w:rPr>
          <w:t xml:space="preserve"> </w:t>
        </w:r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  <w:lang w:eastAsia="ar-SA"/>
          </w:rPr>
          <w:t>Zmiana wartości dostaw towarów z elektroniki a metoda odwrotnego obciążenia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_Toc423977273 \h </w:instrTex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57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i/>
          <w:noProof/>
          <w:sz w:val="20"/>
          <w:szCs w:val="20"/>
          <w:lang w:val="pl-PL" w:eastAsia="pl-PL"/>
        </w:rPr>
      </w:pPr>
      <w:hyperlink w:anchor="_Toc423977274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  <w:lang w:eastAsia="ar-SA"/>
          </w:rPr>
          <w:t>6.8.2.Obniżenie wartości dostaw a metoda odwrotnego obciążenia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_Toc423977274 \h </w:instrTex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57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i/>
          <w:noProof/>
          <w:sz w:val="20"/>
          <w:szCs w:val="20"/>
          <w:lang w:val="pl-PL" w:eastAsia="pl-PL"/>
        </w:rPr>
      </w:pPr>
      <w:hyperlink w:anchor="_Toc423977275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t>6.8.3.Podwyższenie wartości dostaw a metoda odwrotnego</w:t>
        </w:r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br/>
          <w:t>obciążenia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_Toc423977275 \h </w:instrTex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59</w:t>
        </w:r>
        <w:r w:rsidRPr="003F13B1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76" w:history="1">
        <w:r w:rsidRPr="003F13B1">
          <w:rPr>
            <w:rStyle w:val="Hipercze"/>
            <w:noProof/>
            <w:sz w:val="20"/>
            <w:szCs w:val="20"/>
          </w:rPr>
          <w:t>7.UISZCZENIE CAŁOŚCI LUB CZĘŚCI ZAPŁATY PRZED DOKONANIEM DOSTAWY A PÓŹNIEJSZA ZMIANA OKREŚLENIA PODATNIKA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_Toc423977276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77" w:history="1">
        <w:r w:rsidRPr="003F13B1">
          <w:rPr>
            <w:rStyle w:val="Hipercze"/>
            <w:noProof/>
            <w:sz w:val="20"/>
            <w:szCs w:val="20"/>
          </w:rPr>
          <w:t>8.BŁĘDY POMIĘDZY STAWKĄ 23% A ODWROTNYM OBCIĄŻENIEM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_Toc423977277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78" w:history="1">
        <w:r w:rsidRPr="003F13B1">
          <w:rPr>
            <w:rStyle w:val="Hipercze"/>
            <w:i/>
            <w:noProof/>
            <w:sz w:val="20"/>
            <w:szCs w:val="20"/>
          </w:rPr>
          <w:t>8.1.Skutki błędów pomiędzy stawką 23% a odwrotnym obciążeniem i odwrotnie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_Toc423977278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66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79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8.2.Błędne zastosowanie stawki 23% zamiast odwrotnego obciążenia – skutki u sprzedawcy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_Toc423977279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68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80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8.3.Błędne zastosowanie stawki 23% zamiast odwrotnego obciążenia – skutki u nabywcy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_Toc423977280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70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81" w:history="1">
        <w:r w:rsidRPr="003F13B1">
          <w:rPr>
            <w:rStyle w:val="Hipercze"/>
            <w:i/>
            <w:noProof/>
            <w:sz w:val="20"/>
            <w:szCs w:val="20"/>
          </w:rPr>
          <w:t>8.4.Błędne zastosowanie odwrotnego obciążenia zamiast stawki 23% - skutki u sprzedawcy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_Toc423977281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72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82" w:history="1">
        <w:r w:rsidRPr="003F13B1">
          <w:rPr>
            <w:rStyle w:val="Hipercze"/>
            <w:i/>
            <w:noProof/>
            <w:sz w:val="20"/>
            <w:szCs w:val="20"/>
          </w:rPr>
          <w:t>8.5.Błędne zastosowanie odwrotnego obciążenia zamiast stawki 23% - skutki u nabywcy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_Toc423977282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73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Style w:val="Hipercze"/>
          <w:noProof/>
          <w:sz w:val="20"/>
          <w:szCs w:val="20"/>
        </w:rPr>
      </w:pPr>
      <w:r w:rsidRPr="003F13B1">
        <w:rPr>
          <w:rStyle w:val="Hipercze"/>
          <w:noProof/>
          <w:sz w:val="20"/>
          <w:szCs w:val="20"/>
        </w:rPr>
        <w:br w:type="page"/>
      </w:r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3" w:history="1">
        <w:r w:rsidRPr="003F13B1">
          <w:rPr>
            <w:rStyle w:val="Hipercze"/>
            <w:noProof/>
            <w:sz w:val="20"/>
            <w:szCs w:val="20"/>
          </w:rPr>
          <w:t>9.DATA WYSTAWIENIA FAKTURY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noProof/>
            <w:sz w:val="20"/>
            <w:szCs w:val="20"/>
          </w:rPr>
          <w:t>Z ODWROTNYM OBCIĄŻENIEM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noProof/>
            <w:sz w:val="20"/>
            <w:szCs w:val="20"/>
          </w:rPr>
          <w:t>A ROZLICZENIE VAT U NABYWCY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_Toc423977283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4" w:history="1">
        <w:r w:rsidRPr="003F13B1">
          <w:rPr>
            <w:rStyle w:val="Hipercze"/>
            <w:noProof/>
            <w:sz w:val="20"/>
            <w:szCs w:val="20"/>
          </w:rPr>
          <w:t>10.FAKTURA KORYGUJĄCA W ODWROTNYM OBCIĄŻENIU– TERMIN UJĘCIA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5" w:history="1">
        <w:r w:rsidRPr="003F13B1">
          <w:rPr>
            <w:rStyle w:val="Hipercze"/>
            <w:noProof/>
            <w:sz w:val="20"/>
            <w:szCs w:val="20"/>
          </w:rPr>
          <w:t>11.TERMIN UJĘCIA U NABYWCY FAKTURY KORYGUJĄCEJ W PRZYPADKU ZWROTU TOWARÓW W ODWROTNYM OBCIĄŻENIU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_Toc423977285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6" w:history="1">
        <w:r w:rsidRPr="003F13B1">
          <w:rPr>
            <w:rStyle w:val="Hipercze"/>
            <w:noProof/>
            <w:sz w:val="20"/>
            <w:szCs w:val="20"/>
          </w:rPr>
          <w:t>12.TRANSPORT A DOSTAWA TOWARÓW Z ODWROTNYM OBCIĄŻENIEM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7" w:history="1">
        <w:r w:rsidRPr="003F13B1">
          <w:rPr>
            <w:rStyle w:val="Hipercze"/>
            <w:noProof/>
            <w:sz w:val="20"/>
            <w:szCs w:val="20"/>
          </w:rPr>
          <w:t>13.USŁUGI CIĘCIA I GIĘCIA A METODA ODWROTNEGO OBCIĄŻENIA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8" w:history="1">
        <w:r w:rsidRPr="003F13B1">
          <w:rPr>
            <w:rStyle w:val="Hipercze"/>
            <w:noProof/>
            <w:sz w:val="20"/>
            <w:szCs w:val="20"/>
          </w:rPr>
          <w:t>14.DUPLIKAT FAKTURY W ODWROTNYM OBCIĄŻENIU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89" w:history="1">
        <w:r w:rsidRPr="003F13B1">
          <w:rPr>
            <w:rStyle w:val="Hipercze"/>
            <w:noProof/>
            <w:sz w:val="20"/>
            <w:szCs w:val="20"/>
          </w:rPr>
          <w:t>15.MOŻLIWOŚĆ WYSTAWIENIA JEDNEJ FAKTURY NA DOSTAWY W ODWROTNYM OBCIĄŻENIU I POZOSTAŁE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_Toc423977289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90" w:history="1">
        <w:r w:rsidRPr="003F13B1">
          <w:rPr>
            <w:rStyle w:val="Hipercze"/>
            <w:noProof/>
            <w:sz w:val="20"/>
            <w:szCs w:val="20"/>
          </w:rPr>
          <w:t>16.DOBRA WIARA A ODWROTNE OBCIĄŻENIE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_Toc423977290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91" w:history="1">
        <w:r w:rsidRPr="003F13B1">
          <w:rPr>
            <w:rStyle w:val="Hipercze"/>
            <w:noProof/>
            <w:sz w:val="20"/>
            <w:szCs w:val="20"/>
          </w:rPr>
          <w:t>17.NOWE REGULACJE DOTYCZĄCE ODWROTNEGO OBCIĄŻENIA A PRZEPISY PRZEJŚCIOWE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_Toc423977291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2" w:history="1">
        <w:r w:rsidRPr="003F13B1">
          <w:rPr>
            <w:rStyle w:val="Hipercze"/>
            <w:i/>
            <w:noProof/>
            <w:sz w:val="20"/>
            <w:szCs w:val="20"/>
          </w:rPr>
          <w:t>17.1.Zaliczki otrzymane przed 1 lipca 2015 r. na dostawy dokonane</w:t>
        </w:r>
        <w:r w:rsidRPr="003F13B1">
          <w:rPr>
            <w:rStyle w:val="Hipercze"/>
            <w:i/>
            <w:noProof/>
            <w:sz w:val="20"/>
            <w:szCs w:val="20"/>
          </w:rPr>
          <w:br/>
          <w:t>po wspomnianej dacie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3" w:history="1">
        <w:r w:rsidRPr="003F13B1">
          <w:rPr>
            <w:rStyle w:val="Hipercze"/>
            <w:i/>
            <w:noProof/>
            <w:sz w:val="20"/>
            <w:szCs w:val="20"/>
          </w:rPr>
          <w:t>17.2.Umowy na dostawę elektroniki zawarte przed 1 lipca 2015 r.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94" w:history="1">
        <w:r w:rsidRPr="003F13B1">
          <w:rPr>
            <w:rStyle w:val="Hipercze"/>
            <w:noProof/>
            <w:sz w:val="20"/>
            <w:szCs w:val="20"/>
          </w:rPr>
          <w:t>18.INFORMACJA PODSUMOWUJĄCA (VAT-27)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_Toc423977294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5" w:history="1">
        <w:r w:rsidRPr="003F13B1">
          <w:rPr>
            <w:rStyle w:val="Hipercze"/>
            <w:i/>
            <w:noProof/>
            <w:sz w:val="20"/>
            <w:szCs w:val="20"/>
          </w:rPr>
          <w:t>18.1.Zasady składania krajowej informacji podsumowującej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6" w:history="1">
        <w:r w:rsidRPr="003F13B1">
          <w:rPr>
            <w:rStyle w:val="Hipercze"/>
            <w:i/>
            <w:noProof/>
            <w:sz w:val="20"/>
            <w:szCs w:val="20"/>
          </w:rPr>
          <w:t>18.2.Korekta krajowej informacji podsumowującej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94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7" w:history="1">
        <w:r w:rsidRPr="003F13B1">
          <w:rPr>
            <w:rStyle w:val="Hipercze"/>
            <w:i/>
            <w:noProof/>
            <w:sz w:val="20"/>
            <w:szCs w:val="20"/>
          </w:rPr>
          <w:t>18.3.Korekta informacji w obrocie krajowym w wyjaśnieniach Ministra Finansów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_Toc423977297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298" w:history="1">
        <w:r w:rsidRPr="003F13B1">
          <w:rPr>
            <w:rStyle w:val="Hipercze"/>
            <w:i/>
            <w:noProof/>
            <w:sz w:val="20"/>
            <w:szCs w:val="20"/>
          </w:rPr>
          <w:t>18.4.Okres za który należy złożyć informację podsumowującą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_Toc423977298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299" w:history="1">
        <w:r w:rsidRPr="003F13B1">
          <w:rPr>
            <w:rStyle w:val="Hipercze"/>
            <w:noProof/>
            <w:sz w:val="20"/>
            <w:szCs w:val="20"/>
          </w:rPr>
          <w:t>19.ODWROTNE OBCIĄŻENIE A ULGA NA ZŁE DŁUGI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_Toc423977299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00" w:history="1">
        <w:r w:rsidRPr="003F13B1">
          <w:rPr>
            <w:rStyle w:val="Hipercze"/>
            <w:noProof/>
            <w:sz w:val="20"/>
            <w:szCs w:val="20"/>
          </w:rPr>
          <w:t>20.ZASADY WYSTAWIANIA FAKTUR W PRZYPADKU "ODWROTNEGO OBCIĄŻENIA"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_Toc423977300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01" w:history="1">
        <w:r w:rsidRPr="003F13B1">
          <w:rPr>
            <w:rStyle w:val="Hipercze"/>
            <w:noProof/>
            <w:sz w:val="20"/>
            <w:szCs w:val="20"/>
          </w:rPr>
          <w:t>21.SPRZEDAŻ TOWARÓW DLA PODMIOTÓW Z INNYCH KRAJÓW A ODWROTNE OBCIĄŻENIE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_Toc423977301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left" w:pos="3722"/>
        </w:tabs>
        <w:spacing w:before="240"/>
        <w:mirrorIndents/>
        <w:rPr>
          <w:b w:val="0"/>
        </w:rPr>
      </w:pPr>
      <w:hyperlink w:anchor="_Toc423977302" w:history="1">
        <w:r w:rsidRPr="003F13B1">
          <w:rPr>
            <w:rStyle w:val="Hipercze"/>
          </w:rPr>
          <w:t>ROZDZIAŁ II</w:t>
        </w:r>
      </w:hyperlink>
      <w:r>
        <w:rPr>
          <w:rStyle w:val="Hipercze"/>
        </w:rPr>
        <w:tab/>
      </w:r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mirrorIndents/>
        <w:rPr>
          <w:b w:val="0"/>
        </w:rPr>
      </w:pPr>
      <w:hyperlink w:anchor="_Toc423977303" w:history="1">
        <w:r w:rsidRPr="003F13B1">
          <w:rPr>
            <w:rStyle w:val="Hipercze"/>
          </w:rPr>
          <w:t>ULGA NA ZŁE DŁUGI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_Toc423977303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107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04" w:history="1">
        <w:r w:rsidRPr="003F13B1">
          <w:rPr>
            <w:rStyle w:val="Hipercze"/>
            <w:noProof/>
            <w:sz w:val="20"/>
            <w:szCs w:val="20"/>
          </w:rPr>
          <w:t>1.ZASADY KORZYSTANIA Z ULGI NA </w:t>
        </w:r>
        <w:r w:rsidRPr="003F13B1">
          <w:rPr>
            <w:rStyle w:val="Hipercze"/>
            <w:noProof/>
            <w:sz w:val="20"/>
            <w:szCs w:val="20"/>
            <w:lang w:val="pl-PL"/>
          </w:rPr>
          <w:t>ZŁE</w:t>
        </w:r>
        <w:r w:rsidRPr="003F13B1">
          <w:rPr>
            <w:rStyle w:val="Hipercze"/>
            <w:noProof/>
            <w:sz w:val="20"/>
            <w:szCs w:val="20"/>
          </w:rPr>
          <w:t xml:space="preserve"> DŁUGI U WIERZYCIELA I DŁUŻNIKA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_Toc423977304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05" w:history="1">
        <w:r w:rsidRPr="003F13B1">
          <w:rPr>
            <w:rStyle w:val="Hipercze"/>
            <w:noProof/>
            <w:sz w:val="20"/>
            <w:szCs w:val="20"/>
          </w:rPr>
          <w:t>2.ZMIANY W ULDZE NA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ZŁE</w:t>
        </w:r>
        <w:r w:rsidRPr="003F13B1">
          <w:rPr>
            <w:rStyle w:val="Hipercze"/>
            <w:noProof/>
            <w:sz w:val="20"/>
            <w:szCs w:val="20"/>
          </w:rPr>
          <w:t xml:space="preserve"> DŁUGI</w:t>
        </w:r>
      </w:hyperlink>
      <w:r w:rsidRPr="003F13B1">
        <w:rPr>
          <w:rStyle w:val="Hipercze"/>
          <w:noProof/>
          <w:sz w:val="20"/>
          <w:szCs w:val="20"/>
          <w:lang w:val="pl-PL"/>
        </w:rPr>
        <w:t xml:space="preserve"> </w:t>
      </w:r>
      <w:hyperlink w:anchor="_Toc423977306" w:history="1">
        <w:r w:rsidRPr="003F13B1">
          <w:rPr>
            <w:rStyle w:val="Hipercze"/>
            <w:noProof/>
            <w:sz w:val="20"/>
            <w:szCs w:val="20"/>
          </w:rPr>
          <w:t>OD 1 LIPCA 2015 r.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_Toc423977306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07" w:history="1">
        <w:r w:rsidRPr="003F13B1">
          <w:rPr>
            <w:rStyle w:val="Hipercze"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noProof/>
            <w:sz w:val="20"/>
            <w:szCs w:val="20"/>
          </w:rPr>
          <w:t>.ULGA NA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ZŁE</w:t>
        </w:r>
        <w:r w:rsidRPr="003F13B1">
          <w:rPr>
            <w:rStyle w:val="Hipercze"/>
            <w:noProof/>
            <w:sz w:val="20"/>
            <w:szCs w:val="20"/>
          </w:rPr>
          <w:t xml:space="preserve"> DŁUGI U WIERZYCIELA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_Toc423977307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08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.1.Podstawowe zasady korzystania z ulgi na złe długi  u wierzyciela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_Toc423977308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108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09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.2.Nieściągalność wierzytelności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_Toc423977309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109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0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.3.Dodatkowe warunki skorzystania z ulgi na złe długi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1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3.4</w:t>
        </w:r>
        <w:r w:rsidRPr="003F13B1">
          <w:rPr>
            <w:rStyle w:val="Hipercze"/>
            <w:i/>
            <w:noProof/>
            <w:sz w:val="20"/>
            <w:szCs w:val="20"/>
          </w:rPr>
          <w:t>.Status sprzedawcy i nabywcy a ulga na złe długi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2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.5.Transakcje pomiędzy podmiotami powiązanymi a ulga na złe</w:t>
        </w:r>
        <w:r w:rsidRPr="003F13B1">
          <w:rPr>
            <w:rStyle w:val="Hipercze"/>
            <w:i/>
            <w:noProof/>
            <w:sz w:val="20"/>
            <w:szCs w:val="20"/>
          </w:rPr>
          <w:br/>
          <w:t>długi u wierzyciela od 1 lipca 2015 r.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114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3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.6. Ulga na złe długi a upadłość lub likwidacja dłużnika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4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</w:t>
        </w:r>
        <w:r w:rsidRPr="003F13B1">
          <w:rPr>
            <w:rStyle w:val="Hipercze"/>
            <w:i/>
            <w:noProof/>
            <w:sz w:val="20"/>
            <w:szCs w:val="20"/>
          </w:rPr>
          <w:t>.7.Korekta VAT należnego u wierzyciela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_Toc423977314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5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3.8</w:t>
        </w:r>
        <w:r w:rsidRPr="003F13B1">
          <w:rPr>
            <w:rStyle w:val="Hipercze"/>
            <w:i/>
            <w:noProof/>
            <w:sz w:val="20"/>
            <w:szCs w:val="20"/>
          </w:rPr>
          <w:t>.Ulga na złe długi a późniejsze uregulowanie należności</w:t>
        </w:r>
        <w:r w:rsidRPr="003F13B1">
          <w:rPr>
            <w:rStyle w:val="Hipercze"/>
            <w:i/>
            <w:noProof/>
            <w:sz w:val="20"/>
            <w:szCs w:val="20"/>
          </w:rPr>
          <w:br/>
          <w:t>przez dłużnika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6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3.9</w:t>
        </w:r>
        <w:r w:rsidRPr="003F13B1">
          <w:rPr>
            <w:rStyle w:val="Hipercze"/>
            <w:i/>
            <w:noProof/>
            <w:sz w:val="20"/>
            <w:szCs w:val="20"/>
          </w:rPr>
          <w:t>.Powrót wierzyciela do zwolnienia z VAT a obowiązek podwyższenia VAT należnego po otrzymaniu zapłaty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17" w:history="1">
        <w:r w:rsidRPr="003F13B1">
          <w:rPr>
            <w:rStyle w:val="Hipercze"/>
            <w:noProof/>
            <w:sz w:val="20"/>
            <w:szCs w:val="20"/>
            <w:lang w:val="pl-PL"/>
          </w:rPr>
          <w:t>4</w:t>
        </w:r>
        <w:r w:rsidRPr="003F13B1">
          <w:rPr>
            <w:rStyle w:val="Hipercze"/>
            <w:noProof/>
            <w:sz w:val="20"/>
            <w:szCs w:val="20"/>
          </w:rPr>
          <w:t>.ULGA NA </w:t>
        </w:r>
        <w:r w:rsidRPr="003F13B1">
          <w:rPr>
            <w:rStyle w:val="Hipercze"/>
            <w:noProof/>
            <w:sz w:val="20"/>
            <w:szCs w:val="20"/>
            <w:lang w:val="pl-PL"/>
          </w:rPr>
          <w:t>ZŁE</w:t>
        </w:r>
        <w:r w:rsidRPr="003F13B1">
          <w:rPr>
            <w:rStyle w:val="Hipercze"/>
            <w:noProof/>
            <w:sz w:val="20"/>
            <w:szCs w:val="20"/>
          </w:rPr>
          <w:t xml:space="preserve"> DŁUGI U DŁUŻNIKA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_Toc423977317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8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</w:t>
        </w:r>
        <w:r w:rsidRPr="003F13B1">
          <w:rPr>
            <w:rStyle w:val="Hipercze"/>
            <w:i/>
            <w:noProof/>
            <w:sz w:val="20"/>
            <w:szCs w:val="20"/>
          </w:rPr>
          <w:t xml:space="preserve">.1.Zasady korekty VAT naliczonego u dłużnika 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w przypadku braku zapłaty w terminie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19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4.2</w:t>
        </w:r>
        <w:r w:rsidRPr="003F13B1">
          <w:rPr>
            <w:rStyle w:val="Hipercze"/>
            <w:i/>
            <w:noProof/>
            <w:sz w:val="20"/>
            <w:szCs w:val="20"/>
          </w:rPr>
          <w:t xml:space="preserve">.Obowiązek zmniejszenia VAT naliczonego 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przez dłużnika</w:t>
        </w:r>
        <w:r w:rsidRPr="003F13B1">
          <w:rPr>
            <w:rStyle w:val="Hipercze"/>
            <w:i/>
            <w:noProof/>
            <w:sz w:val="20"/>
            <w:szCs w:val="20"/>
          </w:rPr>
          <w:br/>
          <w:t>w upadłości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_Toc423977319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20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4.3</w:t>
        </w:r>
        <w:r w:rsidRPr="003F13B1">
          <w:rPr>
            <w:rStyle w:val="Hipercze"/>
            <w:i/>
            <w:noProof/>
            <w:sz w:val="20"/>
            <w:szCs w:val="20"/>
          </w:rPr>
          <w:t>.Zapłata kwoty netto z faktury a ulga na złe długi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_Toc423977320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21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4.4</w:t>
        </w:r>
        <w:r w:rsidRPr="003F13B1">
          <w:rPr>
            <w:rStyle w:val="Hipercze"/>
            <w:i/>
            <w:noProof/>
            <w:sz w:val="20"/>
            <w:szCs w:val="20"/>
          </w:rPr>
          <w:t>.Import usług a ulga na złe długi u dłużnika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_Toc423977321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22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4.5</w:t>
        </w:r>
        <w:r w:rsidRPr="003F13B1">
          <w:rPr>
            <w:rStyle w:val="Hipercze"/>
            <w:i/>
            <w:noProof/>
            <w:sz w:val="20"/>
            <w:szCs w:val="20"/>
          </w:rPr>
          <w:t>.Dodatkowe zobowiązanie podatkowe w przypadku braku korekty przez dłużnika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_Toc423977322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23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4.6</w:t>
        </w:r>
        <w:r w:rsidRPr="003F13B1">
          <w:rPr>
            <w:rStyle w:val="Hipercze"/>
            <w:i/>
            <w:noProof/>
            <w:sz w:val="20"/>
            <w:szCs w:val="20"/>
          </w:rPr>
          <w:t xml:space="preserve">.Powrót dłużnika do zwolnienia podmiotowego 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a ulga na złe długi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_Toc423977323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129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24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4.7</w:t>
        </w:r>
        <w:r w:rsidRPr="003F13B1">
          <w:rPr>
            <w:rStyle w:val="Hipercze"/>
            <w:i/>
            <w:noProof/>
            <w:sz w:val="20"/>
            <w:szCs w:val="20"/>
          </w:rPr>
          <w:t>.Faktura korygująca a ulga na złe długi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_Toc423977324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132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25" w:history="1">
        <w:r w:rsidRPr="003F13B1">
          <w:rPr>
            <w:rStyle w:val="Hipercze"/>
            <w:noProof/>
            <w:sz w:val="20"/>
            <w:szCs w:val="20"/>
          </w:rPr>
          <w:t>5.ULGA NA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ZŁE </w:t>
        </w:r>
        <w:r w:rsidRPr="003F13B1">
          <w:rPr>
            <w:rStyle w:val="Hipercze"/>
            <w:noProof/>
            <w:sz w:val="20"/>
            <w:szCs w:val="20"/>
          </w:rPr>
          <w:t>DŁUGI A PRZEPISY PRZEJŚCIOWE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_Toc423977325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/>
        <w:mirrorIndents/>
        <w:rPr>
          <w:b w:val="0"/>
        </w:rPr>
      </w:pPr>
      <w:hyperlink w:anchor="_Toc423977326" w:history="1">
        <w:r w:rsidRPr="003F13B1">
          <w:rPr>
            <w:rStyle w:val="Hipercze"/>
          </w:rPr>
          <w:t>ROZDZIAŁ III</w:t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mirrorIndents/>
        <w:rPr>
          <w:b w:val="0"/>
        </w:rPr>
      </w:pPr>
      <w:hyperlink w:anchor="_Toc423977327" w:history="1">
        <w:r w:rsidRPr="003F13B1">
          <w:rPr>
            <w:rStyle w:val="Hipercze"/>
          </w:rPr>
          <w:t>SAMOCHODY W FIRMIE</w:t>
        </w:r>
      </w:hyperlink>
      <w:r w:rsidRPr="003F13B1">
        <w:rPr>
          <w:b w:val="0"/>
        </w:rPr>
        <w:t xml:space="preserve"> </w:t>
      </w:r>
      <w:hyperlink w:anchor="_Toc423977328" w:history="1">
        <w:r w:rsidRPr="003F13B1">
          <w:rPr>
            <w:rStyle w:val="Hipercze"/>
          </w:rPr>
          <w:t>-WYBRANE PROBLEMY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_Toc423977328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137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29" w:history="1">
        <w:r w:rsidRPr="003F13B1">
          <w:rPr>
            <w:rStyle w:val="Hipercze"/>
            <w:noProof/>
            <w:sz w:val="20"/>
            <w:szCs w:val="20"/>
          </w:rPr>
          <w:t>1.ZASADY ODLICZANIA VAT OD PALIWA I INNYCH WYDATKÓW ZWIĄZANYCH Z EKSPLOATACJĄ POJAZDÓW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_Toc423977329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30" w:history="1">
        <w:r w:rsidRPr="003F13B1">
          <w:rPr>
            <w:rStyle w:val="Hipercze"/>
            <w:noProof/>
            <w:sz w:val="20"/>
            <w:szCs w:val="20"/>
          </w:rPr>
          <w:t xml:space="preserve">2.ODLICZENIE VAT OD PALIWA </w:t>
        </w:r>
        <w:r w:rsidRPr="003F13B1">
          <w:rPr>
            <w:rStyle w:val="Hipercze"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noProof/>
            <w:sz w:val="20"/>
            <w:szCs w:val="20"/>
          </w:rPr>
          <w:t>DO SAMOCHODÓW OSOBOWYCH W 2015 r.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_Toc423977330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31" w:history="1">
        <w:r w:rsidRPr="003F13B1">
          <w:rPr>
            <w:rStyle w:val="Hipercze"/>
            <w:noProof/>
            <w:sz w:val="20"/>
            <w:szCs w:val="20"/>
          </w:rPr>
          <w:t>3.FAKTURY ZA PALIWO I WYDATKI EKSPLOATACYJNE NA PRZEŁOMIE CZERWCA I LIPCA 2015 r.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_Toc423977331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32" w:history="1">
        <w:r w:rsidRPr="003F13B1">
          <w:rPr>
            <w:rStyle w:val="Hipercze"/>
            <w:noProof/>
            <w:sz w:val="20"/>
            <w:szCs w:val="20"/>
          </w:rPr>
          <w:t>4.ODLICZENIE VAT OD PALIWA DO SAMOCHODÓW OD 1 LIPCA 2015 r. W WYJAŚNIENIACH MINISTRA FINANSÓW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_Toc423977332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33" w:history="1">
        <w:r w:rsidRPr="003F13B1">
          <w:rPr>
            <w:rStyle w:val="Hipercze"/>
            <w:noProof/>
            <w:sz w:val="20"/>
            <w:szCs w:val="20"/>
          </w:rPr>
          <w:t>5.PROBLEM Z ODLICZENIE VAT W PRZYPADKU TZW. KART PALIWOWYCH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_Toc423977333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34" w:history="1">
        <w:r w:rsidRPr="003F13B1">
          <w:rPr>
            <w:rStyle w:val="Hipercze"/>
            <w:noProof/>
            <w:sz w:val="20"/>
            <w:szCs w:val="20"/>
          </w:rPr>
          <w:t>6.NIEODPŁATNE UŻYCIE SAMOCHODÓW DO CELÓW INNYCH NIŻ DZIAŁALNOŚĆ GOSPODARCZA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_Toc423977334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35" w:history="1">
        <w:r w:rsidRPr="003F13B1">
          <w:rPr>
            <w:rStyle w:val="Hipercze"/>
            <w:i/>
            <w:noProof/>
            <w:sz w:val="20"/>
            <w:szCs w:val="20"/>
          </w:rPr>
          <w:t>6.1.Zasady opodatkowania nieodpłatnego używania samochodów do celów innych niż działalność gospodarcza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_Toc423977335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147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36" w:history="1">
        <w:r w:rsidRPr="003F13B1">
          <w:rPr>
            <w:rStyle w:val="Hipercze"/>
            <w:i/>
            <w:noProof/>
            <w:sz w:val="20"/>
            <w:szCs w:val="20"/>
          </w:rPr>
          <w:t>6.2.Nieodpłatne używanie samochodu przy częściach składowych do którego odliczono VAT naliczony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_Toc423977336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37" w:history="1">
        <w:r w:rsidRPr="003F13B1">
          <w:rPr>
            <w:rStyle w:val="Hipercze"/>
            <w:i/>
            <w:noProof/>
            <w:sz w:val="20"/>
            <w:szCs w:val="20"/>
          </w:rPr>
          <w:t>6.3.Nieodpłatne używanie samochodów, od których podatnik mógł odliczyć 50% lub 60% nie więcej niż 5.000 zł lub 6.000 zł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_Toc423977337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Style w:val="Hipercze"/>
          <w:i/>
          <w:noProof/>
          <w:sz w:val="20"/>
          <w:szCs w:val="20"/>
        </w:rPr>
      </w:pPr>
      <w:r w:rsidRPr="003F13B1">
        <w:rPr>
          <w:rStyle w:val="Hipercze"/>
          <w:i/>
          <w:noProof/>
          <w:sz w:val="20"/>
          <w:szCs w:val="20"/>
        </w:rPr>
        <w:br w:type="page"/>
      </w:r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38" w:history="1">
        <w:r w:rsidRPr="003F13B1">
          <w:rPr>
            <w:rStyle w:val="Hipercze"/>
            <w:i/>
            <w:noProof/>
            <w:sz w:val="20"/>
            <w:szCs w:val="20"/>
          </w:rPr>
          <w:t>6.4.Zestawienie zasad opodatkowania nieodpłatnego używania samochodów od celów innych niż działalność gospodarcza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_Toc423977338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39" w:history="1">
        <w:r w:rsidRPr="003F13B1">
          <w:rPr>
            <w:rStyle w:val="Hipercze"/>
            <w:i/>
            <w:noProof/>
            <w:sz w:val="20"/>
            <w:szCs w:val="20"/>
          </w:rPr>
          <w:t>6.5.Podstawa opodatkowania w przypadku nieodpłatnego używania samochodu do celów innych niż działalność gospodarcza podatnika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_Toc423977339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40" w:history="1">
        <w:r w:rsidRPr="003F13B1">
          <w:rPr>
            <w:rStyle w:val="Hipercze"/>
            <w:i/>
            <w:noProof/>
            <w:sz w:val="20"/>
            <w:szCs w:val="20"/>
          </w:rPr>
          <w:t>6.6.Używanie przez pracowników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firmowych samochodów do celów prywatnych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_Toc423977340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41" w:history="1">
        <w:r w:rsidRPr="003F13B1">
          <w:rPr>
            <w:rStyle w:val="Hipercze"/>
            <w:noProof/>
            <w:sz w:val="20"/>
            <w:szCs w:val="20"/>
          </w:rPr>
          <w:t>7.SPRZEDAŻ SAMOCHODU W KRAJU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_Toc423977341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42" w:history="1">
        <w:r w:rsidRPr="003F13B1">
          <w:rPr>
            <w:rStyle w:val="Hipercze"/>
            <w:i/>
            <w:noProof/>
            <w:sz w:val="20"/>
            <w:szCs w:val="20"/>
          </w:rPr>
          <w:t>7.1.Zasady postępowania przy sprzedaży samochodu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_Toc423977342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43" w:history="1">
        <w:r w:rsidRPr="003F13B1">
          <w:rPr>
            <w:rStyle w:val="Hipercze"/>
            <w:i/>
            <w:noProof/>
            <w:sz w:val="20"/>
            <w:szCs w:val="20"/>
          </w:rPr>
          <w:t>7.2.Sprzedaż samochodu, od którego podatnik mógł odliczyć cały VAT naliczony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_Toc423977343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44" w:history="1">
        <w:r w:rsidRPr="003F13B1">
          <w:rPr>
            <w:rStyle w:val="Hipercze"/>
            <w:i/>
            <w:noProof/>
            <w:sz w:val="20"/>
            <w:szCs w:val="20"/>
          </w:rPr>
          <w:t>7.3.Sprzedaż samochodu, od którego podatnik mógł odliczyć 50% lub 60% VAT naliczonego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_Toc423977344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158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45" w:history="1">
        <w:r w:rsidRPr="003F13B1">
          <w:rPr>
            <w:rStyle w:val="Hipercze"/>
            <w:i/>
            <w:noProof/>
            <w:sz w:val="20"/>
            <w:szCs w:val="20"/>
          </w:rPr>
          <w:t>7.4.Sprzedaż samochodów, przy nabyciu których podatnik nie miał prawa do odliczenia VAT naliczonego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_Toc423977345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160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noProof/>
          <w:sz w:val="20"/>
          <w:szCs w:val="20"/>
          <w:lang w:val="pl-PL" w:eastAsia="pl-PL"/>
        </w:rPr>
      </w:pPr>
      <w:hyperlink w:anchor="_Toc423977346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t>7.4.1.Stawka VAT przy sprzedaży samochodu, od którego nabycia podatnik nie miał prawa do odliczenia VAT naliczonego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_Toc423977346 \h </w:instrTex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160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noProof/>
          <w:sz w:val="20"/>
          <w:szCs w:val="20"/>
          <w:lang w:val="pl-PL" w:eastAsia="pl-PL"/>
        </w:rPr>
      </w:pPr>
      <w:hyperlink w:anchor="_Toc423977347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t>7.4.2.Brak prawa do odliczenia VAT naliczonego a sprzedaż samochodu w metodzie VAT marża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_Toc423977347 \h </w:instrTex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162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4"/>
        <w:ind w:right="284"/>
        <w:rPr>
          <w:rFonts w:ascii="Times New Roman" w:hAnsi="Times New Roman" w:cs="Times New Roman"/>
          <w:noProof/>
          <w:sz w:val="20"/>
          <w:szCs w:val="20"/>
          <w:lang w:val="pl-PL" w:eastAsia="pl-PL"/>
        </w:rPr>
      </w:pPr>
      <w:hyperlink w:anchor="_Toc423977348" w:history="1"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t>7.4.3.Sprzedaż samochodu a metoda VAT marża</w:t>
        </w:r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rFonts w:ascii="Times New Roman" w:hAnsi="Times New Roman" w:cs="Times New Roman"/>
            <w:i/>
            <w:noProof/>
            <w:sz w:val="20"/>
            <w:szCs w:val="20"/>
          </w:rPr>
          <w:t>w wyjaśnieniach organów podatkowych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_Toc423977348 \h </w:instrTex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165</w:t>
        </w:r>
        <w:r w:rsidRPr="003F13B1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49" w:history="1">
        <w:r w:rsidRPr="003F13B1">
          <w:rPr>
            <w:rStyle w:val="Hipercze"/>
            <w:noProof/>
            <w:sz w:val="20"/>
            <w:szCs w:val="20"/>
          </w:rPr>
          <w:t>8.WYDATKI ZWIĄZANE Z EKSPLOATACJĄ POJAZDÓW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_Toc423977349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50" w:history="1">
        <w:r w:rsidRPr="003F13B1">
          <w:rPr>
            <w:rStyle w:val="Hipercze"/>
            <w:i/>
            <w:noProof/>
            <w:sz w:val="20"/>
            <w:szCs w:val="20"/>
          </w:rPr>
          <w:t>8.1.Pojęcie wydatków związanych z eksploatacją pojazdów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_Toc423977350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166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51" w:history="1">
        <w:r w:rsidRPr="003F13B1">
          <w:rPr>
            <w:rStyle w:val="Hipercze"/>
            <w:i/>
            <w:noProof/>
            <w:sz w:val="20"/>
            <w:szCs w:val="20"/>
          </w:rPr>
          <w:t>8.2.Przejazd autostradą - ile VAT można odliczyć?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_Toc423977351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167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52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8.3.</w:t>
        </w:r>
        <w:r w:rsidRPr="003F13B1">
          <w:rPr>
            <w:rStyle w:val="Hipercze"/>
            <w:i/>
            <w:noProof/>
            <w:sz w:val="20"/>
            <w:szCs w:val="20"/>
          </w:rPr>
          <w:t>Miejsca parkingowe pod firmą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_Toc423977352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168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53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8.4.</w:t>
        </w:r>
        <w:r w:rsidRPr="003F13B1">
          <w:rPr>
            <w:rStyle w:val="Hipercze"/>
            <w:i/>
            <w:noProof/>
            <w:sz w:val="20"/>
            <w:szCs w:val="20"/>
          </w:rPr>
          <w:t>Opłaty za przejazd autostradą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_Toc423977353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169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/>
        <w:mirrorIndents/>
        <w:rPr>
          <w:b w:val="0"/>
        </w:rPr>
      </w:pPr>
      <w:hyperlink w:anchor="_Toc423977354" w:history="1">
        <w:r w:rsidRPr="003F13B1">
          <w:rPr>
            <w:rStyle w:val="Hipercze"/>
          </w:rPr>
          <w:t>ROZDZIAŁ IV</w:t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mirrorIndents/>
        <w:rPr>
          <w:b w:val="0"/>
        </w:rPr>
      </w:pPr>
      <w:hyperlink w:anchor="_Toc423977355" w:history="1">
        <w:r w:rsidRPr="003F13B1">
          <w:rPr>
            <w:rStyle w:val="Hipercze"/>
          </w:rPr>
          <w:t>POZOSTAŁE ZMIANY W VAT</w:t>
        </w:r>
      </w:hyperlink>
      <w:r w:rsidRPr="003F13B1">
        <w:rPr>
          <w:b w:val="0"/>
        </w:rPr>
        <w:t xml:space="preserve"> </w:t>
      </w:r>
      <w:hyperlink w:anchor="_Toc423977356" w:history="1">
        <w:r w:rsidRPr="003F13B1">
          <w:rPr>
            <w:rStyle w:val="Hipercze"/>
          </w:rPr>
          <w:t>OD 1 LIPCA 2015 r.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_Toc423977356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171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57" w:history="1">
        <w:r w:rsidRPr="003F13B1">
          <w:rPr>
            <w:rStyle w:val="Hipercze"/>
            <w:noProof/>
            <w:sz w:val="20"/>
            <w:szCs w:val="20"/>
          </w:rPr>
          <w:t>1.NOWE WZORY DEKLARACJI VAT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_Toc423977357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noProof/>
        </w:rPr>
      </w:pPr>
      <w:r w:rsidRPr="003F13B1">
        <w:rPr>
          <w:noProof/>
        </w:rPr>
        <w:br w:type="page"/>
      </w:r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58" w:history="1">
        <w:r w:rsidRPr="003F13B1">
          <w:rPr>
            <w:rStyle w:val="Hipercze"/>
            <w:noProof/>
            <w:sz w:val="20"/>
            <w:szCs w:val="20"/>
          </w:rPr>
          <w:t>2.ODPOWIEDZIALNOŚĆ NABYWCY ZA ZALEGŁOŚCI SPRZEDAWCY W PRZYPADKU TZW. TOWARÓW</w:t>
        </w:r>
        <w:r w:rsidRPr="003F13B1">
          <w:rPr>
            <w:rStyle w:val="Hipercze"/>
            <w:noProof/>
            <w:sz w:val="20"/>
            <w:szCs w:val="20"/>
          </w:rPr>
          <w:br/>
          <w:t>WRAŻLIWYCH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_Toc423977358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59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2.1.Podstawowe warunki odpowiedzialności nabywcy za zaległości podatkowe sprzedawcy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_Toc423977359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173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0" w:history="1">
        <w:r w:rsidRPr="003F13B1">
          <w:rPr>
            <w:rStyle w:val="Hipercze"/>
            <w:i/>
            <w:noProof/>
            <w:sz w:val="20"/>
            <w:szCs w:val="20"/>
          </w:rPr>
          <w:t xml:space="preserve">2.2.Zmiany w zakresie tzw. towarów wrażliwych 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od 1 lipca 2015 r.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175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1" w:history="1">
        <w:r w:rsidRPr="003F13B1">
          <w:rPr>
            <w:rStyle w:val="Hipercze"/>
            <w:i/>
            <w:noProof/>
            <w:sz w:val="20"/>
            <w:szCs w:val="20"/>
          </w:rPr>
          <w:t>2.3.Towary objęte odpowiedzialnością nabywcy za zaległości</w:t>
        </w:r>
        <w:r w:rsidRPr="003F13B1">
          <w:rPr>
            <w:rStyle w:val="Hipercze"/>
            <w:i/>
            <w:noProof/>
            <w:sz w:val="20"/>
            <w:szCs w:val="20"/>
          </w:rPr>
          <w:br/>
          <w:t>sprzedawcy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176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2" w:history="1">
        <w:r w:rsidRPr="003F13B1">
          <w:rPr>
            <w:rStyle w:val="Hipercze"/>
            <w:i/>
            <w:noProof/>
            <w:sz w:val="20"/>
            <w:szCs w:val="20"/>
          </w:rPr>
          <w:t>2.4.Rozszerzenie listy towarów wrażliwych od 1 lipca 2015 r.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3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2.5.Włączenie odpowiedzialności nabywcy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4" w:history="1">
        <w:r w:rsidRPr="003F13B1">
          <w:rPr>
            <w:rStyle w:val="Hipercze"/>
            <w:i/>
            <w:noProof/>
            <w:sz w:val="20"/>
            <w:szCs w:val="20"/>
            <w:lang w:eastAsia="ar-SA"/>
          </w:rPr>
          <w:t>2.6.Wykazanie przez sprzedawcę kwoty do zwrotu</w:t>
        </w:r>
        <w:r w:rsidRPr="003F13B1">
          <w:rPr>
            <w:rStyle w:val="Hipercze"/>
            <w:i/>
            <w:noProof/>
            <w:sz w:val="20"/>
            <w:szCs w:val="20"/>
            <w:lang w:val="pl-PL" w:eastAsia="ar-SA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  <w:lang w:eastAsia="ar-SA"/>
          </w:rPr>
          <w:t>a odpowiedzialność podatkowa nabywcy towarów wrażliwych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_Toc423977364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5" w:history="1">
        <w:r w:rsidRPr="003F13B1">
          <w:rPr>
            <w:rStyle w:val="Hipercze"/>
            <w:i/>
            <w:noProof/>
            <w:sz w:val="20"/>
            <w:szCs w:val="20"/>
          </w:rPr>
          <w:t>2.7.Sprzedaż towarów wrażliwych a brak możliwości składania deklaracji VAT za okresy kwartalne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184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6" w:history="1">
        <w:r w:rsidRPr="003F13B1">
          <w:rPr>
            <w:rStyle w:val="Hipercze"/>
            <w:i/>
            <w:noProof/>
            <w:sz w:val="20"/>
            <w:szCs w:val="20"/>
          </w:rPr>
          <w:t>2.8.Rozszerzenie listy towarów wrażliwych a utrata prawa do składania deklaracji za okresy kwartalne przez niektórych podatników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7" w:history="1">
        <w:r w:rsidRPr="003F13B1">
          <w:rPr>
            <w:rStyle w:val="Hipercze"/>
            <w:rFonts w:eastAsia="Times New Roman"/>
            <w:i/>
            <w:noProof/>
            <w:sz w:val="20"/>
            <w:szCs w:val="20"/>
          </w:rPr>
          <w:t>2.9.Sprzedaż towarów wrażliwych a metoda kasowa rozliczania VAT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_Toc423977367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68" w:history="1">
        <w:r w:rsidRPr="003F13B1">
          <w:rPr>
            <w:rStyle w:val="Hipercze"/>
            <w:rFonts w:eastAsia="Times New Roman"/>
            <w:i/>
            <w:noProof/>
            <w:sz w:val="20"/>
            <w:szCs w:val="20"/>
          </w:rPr>
          <w:t>2.10. Brak możliwości umownego zwolnienia</w:t>
        </w:r>
        <w:r w:rsidRPr="003F13B1">
          <w:rPr>
            <w:rStyle w:val="Hipercze"/>
            <w:rFonts w:eastAsia="Times New Roman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rFonts w:eastAsia="Times New Roman"/>
            <w:i/>
            <w:noProof/>
            <w:sz w:val="20"/>
            <w:szCs w:val="20"/>
          </w:rPr>
          <w:t>z odpowiedzialności w przypadku nabycia towarów wrażliwych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_Toc423977368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69" w:history="1">
        <w:r w:rsidRPr="003F13B1">
          <w:rPr>
            <w:rStyle w:val="Hipercze"/>
            <w:noProof/>
            <w:sz w:val="20"/>
            <w:szCs w:val="20"/>
          </w:rPr>
          <w:t>3.KAUCJA GWARANCYJNA OD 1 LIPCA 2015R.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_Toc423977369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0" w:history="1">
        <w:r w:rsidRPr="003F13B1">
          <w:rPr>
            <w:rStyle w:val="Hipercze"/>
            <w:i/>
            <w:noProof/>
            <w:sz w:val="20"/>
            <w:szCs w:val="20"/>
          </w:rPr>
          <w:t>3.1.Kaucja gwarancyjna a odpowiedzialność nabywcy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189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1" w:history="1">
        <w:r w:rsidRPr="003F13B1">
          <w:rPr>
            <w:rStyle w:val="Hipercze"/>
            <w:i/>
            <w:noProof/>
            <w:sz w:val="20"/>
            <w:szCs w:val="20"/>
          </w:rPr>
          <w:t>3.2.Zmiana minimalnej wysokości kaucji gwarancyjnej dla podmiotów dostarczających paliwa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2" w:history="1">
        <w:r w:rsidRPr="003F13B1">
          <w:rPr>
            <w:rStyle w:val="Hipercze"/>
            <w:i/>
            <w:noProof/>
            <w:sz w:val="20"/>
            <w:szCs w:val="20"/>
          </w:rPr>
          <w:t>3.3.Sposób wyliczenia wysokości kaucji gwarancyjnej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3" w:history="1">
        <w:r w:rsidRPr="003F13B1">
          <w:rPr>
            <w:rStyle w:val="Hipercze"/>
            <w:i/>
            <w:noProof/>
            <w:sz w:val="20"/>
            <w:szCs w:val="20"/>
          </w:rPr>
          <w:t>3.4.Zmiana maksymalnej wysokości kaucji gwarancyjnej dla podmiotów dostarczających paliwa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_Toc423977373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4" w:history="1">
        <w:r w:rsidRPr="003F13B1">
          <w:rPr>
            <w:rStyle w:val="Hipercze"/>
            <w:i/>
            <w:noProof/>
            <w:sz w:val="20"/>
            <w:szCs w:val="20"/>
          </w:rPr>
          <w:t>3.5.Oprocentowanie kaucji gwarancyjnej złożonej w formie depozytu pieniężnego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_Toc423977374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193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5" w:history="1">
        <w:r w:rsidRPr="003F13B1">
          <w:rPr>
            <w:rStyle w:val="Hipercze"/>
            <w:i/>
            <w:noProof/>
            <w:sz w:val="20"/>
            <w:szCs w:val="20"/>
          </w:rPr>
          <w:t>3.6.Właściwości naczelnika urzędu skarbowego w zakresie kaucji gwarancyjnej w przypadku zmiany właściwości urzędu skarbowego dla celów podatku VAT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_Toc423977375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194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6" w:history="1">
        <w:r w:rsidRPr="003F13B1">
          <w:rPr>
            <w:rStyle w:val="Hipercze"/>
            <w:i/>
            <w:noProof/>
            <w:sz w:val="20"/>
            <w:szCs w:val="20"/>
          </w:rPr>
          <w:t>3.7.Wymogi dotyczące kaucji gwarancyjnej składanej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w niektórych</w:t>
        </w:r>
        <w:r w:rsidRPr="003F13B1">
          <w:rPr>
            <w:rStyle w:val="Hipercze"/>
            <w:i/>
            <w:noProof/>
            <w:sz w:val="20"/>
            <w:szCs w:val="20"/>
          </w:rPr>
          <w:br/>
          <w:t>formach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_Toc423977376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noProof/>
        </w:rPr>
      </w:pPr>
      <w:r w:rsidRPr="003F13B1">
        <w:rPr>
          <w:noProof/>
        </w:rPr>
        <w:br w:type="page"/>
      </w:r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7" w:history="1">
        <w:r w:rsidRPr="003F13B1">
          <w:rPr>
            <w:rStyle w:val="Hipercze"/>
            <w:i/>
            <w:noProof/>
            <w:sz w:val="20"/>
            <w:szCs w:val="20"/>
          </w:rPr>
          <w:t>3.8.Kaucja gwarancyjna złożona w formie gwarancji bankowej lub ubezpieczeniowej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_Toc423977377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195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ind w:firstLine="0"/>
        <w:mirrorIndents/>
        <w:rPr>
          <w:noProof/>
        </w:rPr>
      </w:pPr>
      <w:hyperlink w:anchor="_Toc423977378" w:history="1">
        <w:r w:rsidRPr="003F13B1">
          <w:rPr>
            <w:rStyle w:val="Hipercze"/>
            <w:i/>
            <w:noProof/>
            <w:sz w:val="20"/>
            <w:szCs w:val="20"/>
          </w:rPr>
          <w:t>3.9.Kaucja gwarancyjna złożona w formie upoważnieni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>a</w:t>
        </w:r>
        <w:r w:rsidRPr="003F13B1">
          <w:rPr>
            <w:rStyle w:val="Hipercze"/>
            <w:i/>
            <w:noProof/>
            <w:sz w:val="20"/>
            <w:szCs w:val="20"/>
          </w:rPr>
          <w:t xml:space="preserve"> organu podatkowego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_Toc423977378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79" w:history="1">
        <w:r w:rsidRPr="003F13B1">
          <w:rPr>
            <w:rStyle w:val="Hipercze"/>
            <w:i/>
            <w:noProof/>
            <w:sz w:val="20"/>
            <w:szCs w:val="20"/>
          </w:rPr>
          <w:t>3.10.Podwyższenie kaucji gwarancyjnej po 1 lipca 2015r. a nowe wymogi dotyczące niektórych form kaucji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_Toc423977379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80" w:history="1">
        <w:r w:rsidRPr="003F13B1">
          <w:rPr>
            <w:rStyle w:val="Hipercze"/>
            <w:i/>
            <w:noProof/>
            <w:sz w:val="20"/>
            <w:szCs w:val="20"/>
          </w:rPr>
          <w:t>3.11.Nowe wzory wniosków w sprawie kaucji gwarancyjne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>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_Toc423977380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81" w:history="1">
        <w:r w:rsidRPr="003F13B1">
          <w:rPr>
            <w:rStyle w:val="Hipercze"/>
            <w:i/>
            <w:noProof/>
            <w:sz w:val="20"/>
            <w:szCs w:val="20"/>
          </w:rPr>
          <w:t>3.12.Pozostałe zmiany w zakresie kaucji gwarancyjne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>j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_Toc423977381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199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/>
        <w:mirrorIndents/>
        <w:rPr>
          <w:b w:val="0"/>
        </w:rPr>
      </w:pPr>
      <w:hyperlink w:anchor="_Toc423977382" w:history="1">
        <w:r w:rsidRPr="003F13B1">
          <w:rPr>
            <w:rStyle w:val="Hipercze"/>
          </w:rPr>
          <w:t>ROZDZIAŁ V</w:t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mirrorIndents/>
        <w:rPr>
          <w:b w:val="0"/>
        </w:rPr>
      </w:pPr>
      <w:hyperlink w:anchor="_Toc423977383" w:history="1">
        <w:r w:rsidRPr="003F13B1">
          <w:rPr>
            <w:rStyle w:val="Hipercze"/>
          </w:rPr>
          <w:t>WYBRANE PRAKTYCZNE</w:t>
        </w:r>
      </w:hyperlink>
      <w:r w:rsidRPr="003F13B1">
        <w:rPr>
          <w:b w:val="0"/>
        </w:rPr>
        <w:t xml:space="preserve"> </w:t>
      </w:r>
      <w:hyperlink w:anchor="_Toc423977384" w:history="1">
        <w:r w:rsidRPr="003F13B1">
          <w:rPr>
            <w:rStyle w:val="Hipercze"/>
          </w:rPr>
          <w:t>PROBLEMY W ZAKRESIE VAT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_Toc423977384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203</w:t>
        </w:r>
        <w:r w:rsidRPr="003F13B1">
          <w:rPr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85" w:history="1">
        <w:r w:rsidRPr="003F13B1">
          <w:rPr>
            <w:rStyle w:val="Hipercze"/>
            <w:noProof/>
            <w:sz w:val="20"/>
            <w:szCs w:val="20"/>
          </w:rPr>
          <w:t>1.FAKTURA ZA KOMPLEKSOWE USŁUGI REKLAMOWE OBEJMUJĄCE PREZENTY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_Toc423977385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86" w:history="1">
        <w:r w:rsidRPr="003F13B1">
          <w:rPr>
            <w:rStyle w:val="Hipercze"/>
            <w:noProof/>
            <w:sz w:val="20"/>
            <w:szCs w:val="20"/>
          </w:rPr>
          <w:t>2.ODLICZENIE VAT Z FAKTUR ZA USŁUGI ELEKTRONICZNE DO ZAGRANICZNYCH KONTRAHENTÓW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_Toc423977386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noProof/>
          <w:color w:val="0000FF" w:themeColor="hyperlink"/>
          <w:sz w:val="20"/>
          <w:szCs w:val="20"/>
          <w:u w:val="single"/>
          <w:lang w:val="pl-PL"/>
        </w:rPr>
      </w:pPr>
      <w:hyperlink w:anchor="_Toc423977387" w:history="1">
        <w:r w:rsidRPr="003F13B1">
          <w:rPr>
            <w:rStyle w:val="Hipercze"/>
            <w:noProof/>
            <w:sz w:val="20"/>
            <w:szCs w:val="20"/>
          </w:rPr>
          <w:t xml:space="preserve">3.KOMORNICY SĄDOWI </w:t>
        </w:r>
        <w:r w:rsidRPr="003F13B1">
          <w:rPr>
            <w:rStyle w:val="Hipercze"/>
            <w:noProof/>
            <w:sz w:val="20"/>
            <w:szCs w:val="20"/>
            <w:lang w:val="pl-PL"/>
          </w:rPr>
          <w:t>JAKO PODATNICY VAT</w:t>
        </w:r>
        <w:r w:rsidRPr="003F13B1">
          <w:rPr>
            <w:rStyle w:val="Hipercze"/>
            <w:noProof/>
            <w:sz w:val="20"/>
            <w:szCs w:val="20"/>
            <w:lang w:val="pl-PL"/>
          </w:rPr>
          <w:br/>
        </w:r>
        <w:r w:rsidRPr="003F13B1">
          <w:rPr>
            <w:rStyle w:val="Hipercze"/>
            <w:noProof/>
            <w:sz w:val="20"/>
            <w:szCs w:val="20"/>
          </w:rPr>
          <w:t>OD 1 PAŹDZIERNIKA 2015 r.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_Toc423977387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88" w:history="1">
        <w:r w:rsidRPr="003F13B1">
          <w:rPr>
            <w:rStyle w:val="Hipercze"/>
            <w:noProof/>
            <w:sz w:val="20"/>
            <w:szCs w:val="20"/>
          </w:rPr>
          <w:t>4.PRZEDAWNIENIE A MOŻLIWOŚĆ WYSTAWIENIA FAKTURY KORYGUJĄCEJ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_Toc423977388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89" w:history="1">
        <w:r w:rsidRPr="003F13B1">
          <w:rPr>
            <w:rStyle w:val="Hipercze"/>
            <w:noProof/>
            <w:sz w:val="20"/>
            <w:szCs w:val="20"/>
          </w:rPr>
          <w:t>5.ANULOWANIE FAKTURY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_Toc423977389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90" w:history="1">
        <w:r w:rsidRPr="003F13B1">
          <w:rPr>
            <w:rStyle w:val="Hipercze"/>
            <w:i/>
            <w:noProof/>
            <w:sz w:val="20"/>
            <w:szCs w:val="20"/>
          </w:rPr>
          <w:t>5.1.Możliwość anulowania faktury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_Toc423977390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210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91" w:history="1">
        <w:r w:rsidRPr="003F13B1">
          <w:rPr>
            <w:rStyle w:val="Hipercze"/>
            <w:i/>
            <w:noProof/>
            <w:sz w:val="20"/>
            <w:szCs w:val="20"/>
          </w:rPr>
          <w:t>5.2.Anulowanie faktur niewprowadzonych do obrotu prawnego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_Toc423977391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211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392" w:history="1">
        <w:r w:rsidRPr="003F13B1">
          <w:rPr>
            <w:rStyle w:val="Hipercze"/>
            <w:i/>
            <w:noProof/>
            <w:sz w:val="20"/>
            <w:szCs w:val="20"/>
          </w:rPr>
          <w:t>5.3.Prawo do anulowania faktur odesłanych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przez kontrahentów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_Toc423977392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212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3" w:history="1">
        <w:r w:rsidRPr="003F13B1">
          <w:rPr>
            <w:rStyle w:val="Hipercze"/>
            <w:iCs/>
            <w:noProof/>
            <w:sz w:val="20"/>
            <w:szCs w:val="20"/>
          </w:rPr>
          <w:t>6.OBOWIĄZEK ZAPŁATY VAT Z PUSTEJ FAKTURY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_Toc423977393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4" w:history="1">
        <w:r w:rsidRPr="003F13B1">
          <w:rPr>
            <w:rStyle w:val="Hipercze"/>
            <w:noProof/>
            <w:sz w:val="20"/>
            <w:szCs w:val="20"/>
          </w:rPr>
          <w:t>7.MOŻLIWOŚĆ KOREKTY PUSTEJ FAKTURY W WYROKU</w:t>
        </w:r>
        <w:r w:rsidRPr="003F13B1">
          <w:rPr>
            <w:rStyle w:val="Hipercze"/>
            <w:noProof/>
            <w:sz w:val="20"/>
            <w:szCs w:val="20"/>
          </w:rPr>
          <w:br/>
          <w:t>TSUE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_Toc423977394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5" w:history="1">
        <w:r w:rsidRPr="003F13B1">
          <w:rPr>
            <w:rStyle w:val="Hipercze"/>
            <w:noProof/>
            <w:sz w:val="20"/>
            <w:szCs w:val="20"/>
          </w:rPr>
          <w:t>8.FAKTURA WYSTAWIONA NA INNY PODMIOT – SKUTKI</w:t>
        </w:r>
        <w:r w:rsidRPr="003F13B1">
          <w:rPr>
            <w:rStyle w:val="Hipercze"/>
            <w:noProof/>
            <w:sz w:val="20"/>
            <w:szCs w:val="20"/>
          </w:rPr>
          <w:br/>
          <w:t>U NABYWCY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_Toc423977395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6" w:history="1">
        <w:r w:rsidRPr="003F13B1">
          <w:rPr>
            <w:rStyle w:val="Hipercze"/>
            <w:noProof/>
            <w:sz w:val="20"/>
            <w:szCs w:val="20"/>
          </w:rPr>
          <w:t>9. FAKTURA WYSTAWIONA NA INNY PODMIOT – SKUTKI</w:t>
        </w:r>
        <w:r w:rsidRPr="003F13B1">
          <w:rPr>
            <w:rStyle w:val="Hipercze"/>
            <w:noProof/>
            <w:sz w:val="20"/>
            <w:szCs w:val="20"/>
          </w:rPr>
          <w:br/>
          <w:t>U SPRZEDAWCY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7" w:history="1">
        <w:r w:rsidRPr="003F13B1">
          <w:rPr>
            <w:rStyle w:val="Hipercze"/>
            <w:noProof/>
            <w:sz w:val="20"/>
            <w:szCs w:val="20"/>
          </w:rPr>
          <w:t>10.POWRÓT DO ZWOLNIENIA Z VAT Z ART. 113 USTAWY</w:t>
        </w:r>
        <w:r w:rsidRPr="003F13B1">
          <w:rPr>
            <w:rStyle w:val="Hipercze"/>
            <w:noProof/>
            <w:sz w:val="20"/>
            <w:szCs w:val="20"/>
          </w:rPr>
          <w:br/>
          <w:t>VAT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398" w:history="1">
        <w:r w:rsidRPr="003F13B1">
          <w:rPr>
            <w:rStyle w:val="Hipercze"/>
            <w:rFonts w:eastAsia="Times New Roman"/>
            <w:noProof/>
            <w:sz w:val="20"/>
            <w:szCs w:val="20"/>
          </w:rPr>
          <w:t>11.REFAKTUROWANIE PO WYROKU TRYBUNAŁU SPRAWIEDLIWOŚCI UE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_Toc423977398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399" w:history="1">
        <w:r w:rsidRPr="003F13B1">
          <w:rPr>
            <w:rStyle w:val="Hipercze"/>
            <w:i/>
            <w:noProof/>
            <w:sz w:val="20"/>
            <w:szCs w:val="20"/>
          </w:rPr>
          <w:t>11.1.Wyrok Trybunału Sprawiedliwości UE w sprawie refakturowania</w:t>
        </w:r>
        <w:r w:rsidRPr="003F13B1">
          <w:rPr>
            <w:rStyle w:val="Hipercze"/>
            <w:i/>
            <w:noProof/>
            <w:sz w:val="20"/>
            <w:szCs w:val="20"/>
          </w:rPr>
          <w:br/>
          <w:t>tzw. mediów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_Toc423977399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221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lang w:val="pl-PL" w:eastAsia="pl-PL"/>
        </w:rPr>
      </w:pPr>
      <w:hyperlink w:anchor="_Toc423977400" w:history="1">
        <w:r w:rsidRPr="003F13B1">
          <w:rPr>
            <w:rStyle w:val="Hipercze"/>
            <w:i/>
            <w:noProof/>
            <w:sz w:val="20"/>
            <w:szCs w:val="20"/>
          </w:rPr>
          <w:t>11.2.Wnioski w zakresie refakturowania wynikające z wyroku Trybunału Sprawiedliwości UE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_Toc423977400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224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1" w:history="1">
        <w:r w:rsidRPr="003F13B1">
          <w:rPr>
            <w:rStyle w:val="Hipercze"/>
            <w:noProof/>
            <w:sz w:val="20"/>
            <w:szCs w:val="20"/>
          </w:rPr>
          <w:t>12.OPÓŹNIENIE FAKTURY OD KONTRAHENTA A ROZLICZENIE IMPORTU USŁUG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_Toc423977401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2" w:history="1">
        <w:r w:rsidRPr="003F13B1">
          <w:rPr>
            <w:rStyle w:val="Hipercze"/>
            <w:noProof/>
            <w:sz w:val="20"/>
            <w:szCs w:val="20"/>
          </w:rPr>
          <w:t>13.UDZIAŁ W ZAGRANICZNYCH TARGACH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_Toc423977402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403" w:history="1">
        <w:r w:rsidRPr="003F13B1">
          <w:rPr>
            <w:rStyle w:val="Hipercze"/>
            <w:i/>
            <w:noProof/>
            <w:sz w:val="20"/>
            <w:szCs w:val="20"/>
          </w:rPr>
          <w:t>13.1.Kompleksowa usługa organizacji targów i wystaw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_Toc423977403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226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lang w:val="pl-PL" w:eastAsia="pl-PL"/>
        </w:rPr>
      </w:pPr>
      <w:hyperlink w:anchor="_Toc423977404" w:history="1">
        <w:r w:rsidRPr="003F13B1">
          <w:rPr>
            <w:rStyle w:val="Hipercze"/>
            <w:i/>
            <w:noProof/>
            <w:sz w:val="20"/>
            <w:szCs w:val="20"/>
          </w:rPr>
          <w:t>13.2.Wynajm powierzchni wystawienniczej</w:t>
        </w:r>
        <w:r w:rsidRPr="003F13B1">
          <w:rPr>
            <w:i/>
            <w:noProof/>
            <w:webHidden/>
          </w:rPr>
          <w:tab/>
        </w:r>
        <w:r w:rsidRPr="003F13B1">
          <w:rPr>
            <w:i/>
            <w:noProof/>
            <w:webHidden/>
          </w:rPr>
          <w:fldChar w:fldCharType="begin"/>
        </w:r>
        <w:r w:rsidRPr="003F13B1">
          <w:rPr>
            <w:i/>
            <w:noProof/>
            <w:webHidden/>
          </w:rPr>
          <w:instrText xml:space="preserve"> PAGEREF _Toc423977404 \h </w:instrText>
        </w:r>
        <w:r w:rsidRPr="003F13B1">
          <w:rPr>
            <w:i/>
            <w:noProof/>
            <w:webHidden/>
          </w:rPr>
        </w:r>
        <w:r w:rsidRPr="003F13B1">
          <w:rPr>
            <w:i/>
            <w:noProof/>
            <w:webHidden/>
          </w:rPr>
          <w:fldChar w:fldCharType="separate"/>
        </w:r>
        <w:r>
          <w:rPr>
            <w:i/>
            <w:noProof/>
            <w:webHidden/>
          </w:rPr>
          <w:t>228</w:t>
        </w:r>
        <w:r w:rsidRPr="003F13B1">
          <w:rPr>
            <w:i/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5" w:history="1">
        <w:r w:rsidRPr="003F13B1">
          <w:rPr>
            <w:rStyle w:val="Hipercze"/>
            <w:noProof/>
            <w:sz w:val="20"/>
            <w:szCs w:val="20"/>
          </w:rPr>
          <w:t>14.IMPORT USŁUG A ZWOLNIENIE PODMIOTOWE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_Toc423977405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6" w:history="1">
        <w:r w:rsidRPr="003F13B1">
          <w:rPr>
            <w:rStyle w:val="Hipercze"/>
            <w:noProof/>
            <w:sz w:val="20"/>
            <w:szCs w:val="20"/>
          </w:rPr>
          <w:t>15.STAWKA VAT NA USŁUGI RESTAURACYJNE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_Toc423977406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7" w:history="1">
        <w:r w:rsidRPr="003F13B1">
          <w:rPr>
            <w:rStyle w:val="Hipercze"/>
            <w:noProof/>
            <w:sz w:val="20"/>
            <w:szCs w:val="20"/>
          </w:rPr>
          <w:t>16. USŁUGI GASTRONOMICZNE W WYJAŚNIENIACH MINISTRA FINANSÓW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_Toc423977407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2"/>
        <w:tabs>
          <w:tab w:val="clear" w:pos="5942"/>
          <w:tab w:val="right" w:leader="dot" w:pos="6095"/>
        </w:tabs>
        <w:ind w:right="0"/>
        <w:mirrorIndents/>
        <w:rPr>
          <w:rFonts w:eastAsiaTheme="minorEastAsia"/>
          <w:noProof/>
          <w:lang w:val="pl-PL" w:eastAsia="pl-PL"/>
        </w:rPr>
      </w:pPr>
      <w:hyperlink w:anchor="_Toc423977408" w:history="1">
        <w:r w:rsidRPr="003F13B1">
          <w:rPr>
            <w:rStyle w:val="Hipercze"/>
            <w:noProof/>
            <w:sz w:val="20"/>
            <w:szCs w:val="20"/>
          </w:rPr>
          <w:t>17.ZBYCIE NIERUCHOMOŚCI PRYWATNEJ A PODATEK VAT</w:t>
        </w:r>
        <w:r w:rsidRPr="003F13B1">
          <w:rPr>
            <w:noProof/>
            <w:webHidden/>
          </w:rPr>
          <w:tab/>
        </w:r>
        <w:r w:rsidRPr="003F13B1">
          <w:rPr>
            <w:noProof/>
            <w:webHidden/>
          </w:rPr>
          <w:fldChar w:fldCharType="begin"/>
        </w:r>
        <w:r w:rsidRPr="003F13B1">
          <w:rPr>
            <w:noProof/>
            <w:webHidden/>
          </w:rPr>
          <w:instrText xml:space="preserve"> PAGEREF _Toc423977408 \h </w:instrText>
        </w:r>
        <w:r w:rsidRPr="003F13B1">
          <w:rPr>
            <w:noProof/>
            <w:webHidden/>
          </w:rPr>
        </w:r>
        <w:r w:rsidRPr="003F13B1"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 w:rsidRPr="003F13B1">
          <w:rPr>
            <w:noProof/>
            <w:webHidden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409" w:history="1">
        <w:r w:rsidRPr="003F13B1">
          <w:rPr>
            <w:rStyle w:val="Hipercze"/>
            <w:i/>
            <w:noProof/>
            <w:sz w:val="20"/>
            <w:szCs w:val="20"/>
          </w:rPr>
          <w:t>17.1.Kryterium uznania zbywcy nieruchomości za podatnika VAT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_Toc423977409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236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410" w:history="1">
        <w:r w:rsidRPr="003F13B1">
          <w:rPr>
            <w:rStyle w:val="Hipercze"/>
            <w:i/>
            <w:noProof/>
            <w:sz w:val="20"/>
            <w:szCs w:val="20"/>
          </w:rPr>
          <w:t>17.2.Zmiana przeznaczenia gruntu a podatnik VAT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_Toc423977410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237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spacing w:after="0"/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411" w:history="1">
        <w:r w:rsidRPr="003F13B1">
          <w:rPr>
            <w:rStyle w:val="Hipercze"/>
            <w:i/>
            <w:noProof/>
            <w:sz w:val="20"/>
            <w:szCs w:val="20"/>
          </w:rPr>
          <w:t>17.3.Zbycie nieruchomości a definicja podatnika w świetle wyroków Trybunału Sprawiedliwości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UE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_Toc423977411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238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3"/>
        <w:tabs>
          <w:tab w:val="clear" w:pos="6084"/>
          <w:tab w:val="right" w:leader="dot" w:pos="6095"/>
        </w:tabs>
        <w:mirrorIndents/>
        <w:rPr>
          <w:rFonts w:eastAsiaTheme="minorEastAsia"/>
          <w:i/>
          <w:noProof/>
          <w:sz w:val="20"/>
          <w:szCs w:val="20"/>
          <w:lang w:val="pl-PL" w:eastAsia="pl-PL"/>
        </w:rPr>
      </w:pPr>
      <w:hyperlink w:anchor="_Toc423977412" w:history="1">
        <w:r w:rsidRPr="003F13B1">
          <w:rPr>
            <w:rStyle w:val="Hipercze"/>
            <w:i/>
            <w:noProof/>
            <w:sz w:val="20"/>
            <w:szCs w:val="20"/>
            <w:lang w:val="pl-PL"/>
          </w:rPr>
          <w:t>17.4</w:t>
        </w:r>
        <w:r w:rsidRPr="003F13B1">
          <w:rPr>
            <w:rStyle w:val="Hipercze"/>
            <w:i/>
            <w:noProof/>
            <w:sz w:val="20"/>
            <w:szCs w:val="20"/>
          </w:rPr>
          <w:t>.Rozróżnienie działalności gospodarczej</w:t>
        </w:r>
        <w:r w:rsidRPr="003F13B1">
          <w:rPr>
            <w:rStyle w:val="Hipercze"/>
            <w:i/>
            <w:noProof/>
            <w:sz w:val="20"/>
            <w:szCs w:val="20"/>
            <w:lang w:val="pl-PL"/>
          </w:rPr>
          <w:t xml:space="preserve"> </w:t>
        </w:r>
        <w:r w:rsidRPr="003F13B1">
          <w:rPr>
            <w:rStyle w:val="Hipercze"/>
            <w:i/>
            <w:noProof/>
            <w:sz w:val="20"/>
            <w:szCs w:val="20"/>
          </w:rPr>
          <w:t>od sprzedaży majątku prywatnego</w:t>
        </w:r>
        <w:r w:rsidRPr="003F13B1">
          <w:rPr>
            <w:i/>
            <w:noProof/>
            <w:webHidden/>
            <w:sz w:val="20"/>
            <w:szCs w:val="20"/>
          </w:rPr>
          <w:tab/>
        </w:r>
        <w:r w:rsidRPr="003F13B1">
          <w:rPr>
            <w:i/>
            <w:noProof/>
            <w:webHidden/>
            <w:sz w:val="20"/>
            <w:szCs w:val="20"/>
          </w:rPr>
          <w:fldChar w:fldCharType="begin"/>
        </w:r>
        <w:r w:rsidRPr="003F13B1">
          <w:rPr>
            <w:i/>
            <w:noProof/>
            <w:webHidden/>
            <w:sz w:val="20"/>
            <w:szCs w:val="20"/>
          </w:rPr>
          <w:instrText xml:space="preserve"> PAGEREF _Toc423977412 \h </w:instrText>
        </w:r>
        <w:r w:rsidRPr="003F13B1">
          <w:rPr>
            <w:i/>
            <w:noProof/>
            <w:webHidden/>
            <w:sz w:val="20"/>
            <w:szCs w:val="20"/>
          </w:rPr>
        </w:r>
        <w:r w:rsidRPr="003F13B1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241</w:t>
        </w:r>
        <w:r w:rsidRPr="003F13B1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spacing w:before="240"/>
        <w:mirrorIndents/>
        <w:rPr>
          <w:b w:val="0"/>
        </w:rPr>
      </w:pPr>
      <w:hyperlink w:anchor="_Toc423977413" w:history="1">
        <w:r w:rsidRPr="003F13B1">
          <w:rPr>
            <w:rStyle w:val="Hipercze"/>
          </w:rPr>
          <w:t>DODATEK</w:t>
        </w:r>
      </w:hyperlink>
    </w:p>
    <w:p w:rsidR="00A01EEA" w:rsidRPr="003F13B1" w:rsidRDefault="00A01EEA" w:rsidP="00A01EEA">
      <w:pPr>
        <w:pStyle w:val="Spistreci1"/>
        <w:tabs>
          <w:tab w:val="clear" w:pos="5942"/>
          <w:tab w:val="right" w:leader="dot" w:pos="6095"/>
        </w:tabs>
        <w:mirrorIndents/>
        <w:rPr>
          <w:b w:val="0"/>
        </w:rPr>
      </w:pPr>
      <w:hyperlink w:anchor="_Toc423977414" w:history="1">
        <w:r w:rsidRPr="003F13B1">
          <w:rPr>
            <w:rStyle w:val="Hipercze"/>
          </w:rPr>
          <w:t>ZMIANY W VAT</w:t>
        </w:r>
      </w:hyperlink>
      <w:r w:rsidRPr="003F13B1">
        <w:rPr>
          <w:b w:val="0"/>
        </w:rPr>
        <w:t xml:space="preserve"> </w:t>
      </w:r>
      <w:hyperlink w:anchor="_Toc423977415" w:history="1">
        <w:r w:rsidRPr="003F13B1">
          <w:rPr>
            <w:rStyle w:val="Hipercze"/>
          </w:rPr>
          <w:t>OD 1 STYCZNIA 2016 r.</w:t>
        </w:r>
        <w:r w:rsidRPr="003F13B1">
          <w:rPr>
            <w:webHidden/>
          </w:rPr>
          <w:tab/>
        </w:r>
        <w:r w:rsidRPr="003F13B1">
          <w:rPr>
            <w:webHidden/>
          </w:rPr>
          <w:fldChar w:fldCharType="begin"/>
        </w:r>
        <w:r w:rsidRPr="003F13B1">
          <w:rPr>
            <w:webHidden/>
          </w:rPr>
          <w:instrText xml:space="preserve"> PAGEREF _Toc423977415 \h </w:instrText>
        </w:r>
        <w:r w:rsidRPr="003F13B1">
          <w:rPr>
            <w:webHidden/>
          </w:rPr>
        </w:r>
        <w:r w:rsidRPr="003F13B1">
          <w:rPr>
            <w:webHidden/>
          </w:rPr>
          <w:fldChar w:fldCharType="separate"/>
        </w:r>
        <w:r>
          <w:rPr>
            <w:webHidden/>
          </w:rPr>
          <w:t>245</w:t>
        </w:r>
        <w:r w:rsidRPr="003F13B1">
          <w:rPr>
            <w:webHidden/>
          </w:rPr>
          <w:fldChar w:fldCharType="end"/>
        </w:r>
      </w:hyperlink>
    </w:p>
    <w:p w:rsidR="00A01EEA" w:rsidRPr="00A01EEA" w:rsidRDefault="00A01EEA" w:rsidP="00A01EEA">
      <w:pPr>
        <w:tabs>
          <w:tab w:val="right" w:leader="dot" w:pos="6095"/>
        </w:tabs>
        <w:ind w:firstLine="0"/>
        <w:rPr>
          <w:lang w:val="pl-PL"/>
        </w:rPr>
        <w:sectPr w:rsidR="00A01EEA" w:rsidRPr="00A01EEA" w:rsidSect="003C67CC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pgSz w:w="8391" w:h="11907" w:code="11"/>
          <w:pgMar w:top="852" w:right="1020" w:bottom="1418" w:left="1276" w:header="709" w:footer="709" w:gutter="0"/>
          <w:cols w:space="708"/>
          <w:titlePg/>
          <w:docGrid w:linePitch="360"/>
        </w:sectPr>
      </w:pPr>
      <w:r w:rsidRPr="003F13B1">
        <w:rPr>
          <w:sz w:val="20"/>
          <w:szCs w:val="20"/>
        </w:rPr>
        <w:fldChar w:fldCharType="end"/>
      </w:r>
    </w:p>
    <w:p w:rsidR="00E36F0C" w:rsidRPr="00A01EEA" w:rsidRDefault="00E36F0C" w:rsidP="00A01EEA">
      <w:pPr>
        <w:ind w:firstLine="0"/>
        <w:rPr>
          <w:lang w:val="pl-PL"/>
        </w:rPr>
      </w:pPr>
    </w:p>
    <w:sectPr w:rsidR="00E36F0C" w:rsidRPr="00A01EEA" w:rsidSect="00A01EEA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8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F" w:rsidRPr="003B4EA0" w:rsidRDefault="004A4D87" w:rsidP="00477586">
        <w:pPr>
          <w:pStyle w:val="Stopka"/>
          <w:ind w:firstLine="0"/>
        </w:pPr>
        <w:r w:rsidRPr="003B4EA0">
          <w:fldChar w:fldCharType="begin"/>
        </w:r>
        <w:r w:rsidRPr="003B4EA0">
          <w:instrText xml:space="preserve"> PAGE   \* MERGEFORMAT </w:instrText>
        </w:r>
        <w:r w:rsidRPr="003B4EA0">
          <w:fldChar w:fldCharType="separate"/>
        </w:r>
        <w:r w:rsidRPr="003B4EA0">
          <w:rPr>
            <w:noProof/>
          </w:rPr>
          <w:t>4</w:t>
        </w:r>
        <w:r w:rsidRPr="003B4EA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94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F" w:rsidRPr="003B4EA0" w:rsidRDefault="004A4D87" w:rsidP="00477586">
        <w:pPr>
          <w:pStyle w:val="Stopka"/>
          <w:jc w:val="right"/>
        </w:pPr>
        <w:r w:rsidRPr="003B4EA0">
          <w:fldChar w:fldCharType="begin"/>
        </w:r>
        <w:r w:rsidRPr="003B4EA0">
          <w:instrText xml:space="preserve"> PAGE   \* MERGEF</w:instrText>
        </w:r>
        <w:r w:rsidRPr="003B4EA0">
          <w:instrText xml:space="preserve">ORMAT </w:instrText>
        </w:r>
        <w:r w:rsidRPr="003B4EA0">
          <w:fldChar w:fldCharType="separate"/>
        </w:r>
        <w:r>
          <w:rPr>
            <w:noProof/>
          </w:rPr>
          <w:t>5</w:t>
        </w:r>
        <w:r w:rsidRPr="003B4EA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68914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F12E9F" w:rsidRPr="00E11C91" w:rsidRDefault="004A4D87" w:rsidP="00AE735B">
        <w:pPr>
          <w:pStyle w:val="Stopka"/>
          <w:jc w:val="right"/>
          <w:rPr>
            <w:color w:val="FFFFFF" w:themeColor="background1"/>
          </w:rPr>
        </w:pPr>
        <w:r w:rsidRPr="00E11C91">
          <w:rPr>
            <w:color w:val="FFFFFF" w:themeColor="background1"/>
          </w:rPr>
          <w:fldChar w:fldCharType="begin"/>
        </w:r>
        <w:r w:rsidRPr="00E11C91">
          <w:rPr>
            <w:color w:val="FFFFFF" w:themeColor="background1"/>
          </w:rPr>
          <w:instrText xml:space="preserve"> PAGE   \* MERGEFORMAT </w:instrText>
        </w:r>
        <w:r w:rsidRPr="00E11C91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E11C91">
          <w:rPr>
            <w:noProof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157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F12E9F" w:rsidRPr="00E11C91" w:rsidRDefault="004A4D87" w:rsidP="00AE735B">
        <w:pPr>
          <w:pStyle w:val="Stopka"/>
          <w:jc w:val="right"/>
          <w:rPr>
            <w:color w:val="FFFFFF" w:themeColor="background1"/>
          </w:rPr>
        </w:pPr>
        <w:r w:rsidRPr="00E11C91">
          <w:rPr>
            <w:color w:val="FFFFFF" w:themeColor="background1"/>
          </w:rPr>
          <w:fldChar w:fldCharType="begin"/>
        </w:r>
        <w:r w:rsidRPr="00E11C91">
          <w:rPr>
            <w:color w:val="FFFFFF" w:themeColor="background1"/>
          </w:rPr>
          <w:instrText xml:space="preserve"> PAGE   \* MERGEFORMAT </w:instrText>
        </w:r>
        <w:r w:rsidRPr="00E11C91">
          <w:rPr>
            <w:color w:val="FFFFFF" w:themeColor="background1"/>
          </w:rPr>
          <w:fldChar w:fldCharType="separate"/>
        </w:r>
        <w:r w:rsidR="00A01EEA">
          <w:rPr>
            <w:noProof/>
            <w:color w:val="FFFFFF" w:themeColor="background1"/>
          </w:rPr>
          <w:t>2</w:t>
        </w:r>
        <w:r w:rsidRPr="00E11C91">
          <w:rPr>
            <w:noProof/>
            <w:color w:val="FFFFFF" w:themeColor="background1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0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F" w:rsidRPr="003B4EA0" w:rsidRDefault="004A4D87" w:rsidP="00477586">
        <w:pPr>
          <w:pStyle w:val="Stopka"/>
          <w:ind w:firstLine="0"/>
        </w:pPr>
        <w:r w:rsidRPr="003B4EA0">
          <w:fldChar w:fldCharType="begin"/>
        </w:r>
        <w:r w:rsidRPr="003B4EA0">
          <w:instrText xml:space="preserve"> PAGE   \* MERGEFORMAT </w:instrText>
        </w:r>
        <w:r w:rsidRPr="003B4EA0">
          <w:fldChar w:fldCharType="separate"/>
        </w:r>
        <w:r>
          <w:rPr>
            <w:noProof/>
          </w:rPr>
          <w:t>12</w:t>
        </w:r>
        <w:r w:rsidRPr="003B4EA0"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6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F" w:rsidRPr="003B4EA0" w:rsidRDefault="004A4D87" w:rsidP="00477586">
        <w:pPr>
          <w:pStyle w:val="Stopka"/>
          <w:jc w:val="right"/>
        </w:pPr>
        <w:r w:rsidRPr="003B4EA0">
          <w:fldChar w:fldCharType="begin"/>
        </w:r>
        <w:r w:rsidRPr="003B4EA0">
          <w:instrText xml:space="preserve"> PAGE   \* MERGEFORMAT </w:instrText>
        </w:r>
        <w:r w:rsidRPr="003B4EA0">
          <w:fldChar w:fldCharType="separate"/>
        </w:r>
        <w:r>
          <w:rPr>
            <w:noProof/>
          </w:rPr>
          <w:t>4</w:t>
        </w:r>
        <w:r w:rsidRPr="003B4EA0"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E9F" w:rsidRPr="003B4EA0" w:rsidRDefault="004A4D87" w:rsidP="00AE735B">
        <w:pPr>
          <w:pStyle w:val="Stopka"/>
          <w:jc w:val="right"/>
        </w:pPr>
        <w:r w:rsidRPr="003B4EA0">
          <w:fldChar w:fldCharType="begin"/>
        </w:r>
        <w:r w:rsidRPr="003B4EA0">
          <w:instrText xml:space="preserve"> PAGE   \* MERGEFORMAT </w:instrText>
        </w:r>
        <w:r w:rsidRPr="003B4EA0">
          <w:fldChar w:fldCharType="separate"/>
        </w:r>
        <w:r>
          <w:rPr>
            <w:noProof/>
          </w:rPr>
          <w:t>3</w:t>
        </w:r>
        <w:r w:rsidRPr="003B4EA0"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9F" w:rsidRPr="00AE735B" w:rsidRDefault="004A4D87" w:rsidP="003C67CC">
    <w:pPr>
      <w:pStyle w:val="Nagwek"/>
      <w:ind w:firstLine="0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9F" w:rsidRPr="003B4EA0" w:rsidRDefault="004A4D87" w:rsidP="003C67CC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9F" w:rsidRPr="00AE735B" w:rsidRDefault="004A4D87" w:rsidP="003C67CC">
    <w:pPr>
      <w:pStyle w:val="Nagwek"/>
      <w:ind w:firstLine="0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9F" w:rsidRDefault="004A4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EA"/>
    <w:rsid w:val="004A4D87"/>
    <w:rsid w:val="00A01EEA"/>
    <w:rsid w:val="00E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EA"/>
    <w:pPr>
      <w:widowControl w:val="0"/>
      <w:shd w:val="clear" w:color="auto" w:fill="FFFFFF"/>
      <w:autoSpaceDE w:val="0"/>
      <w:autoSpaceDN w:val="0"/>
      <w:adjustRightInd w:val="0"/>
      <w:spacing w:after="0" w:line="262" w:lineRule="exact"/>
      <w:ind w:firstLine="360"/>
      <w:jc w:val="both"/>
    </w:pPr>
    <w:rPr>
      <w:rFonts w:ascii="Times New Roman" w:eastAsia="Calibri" w:hAnsi="Times New Roman" w:cs="Times New Roman"/>
      <w:lang w:val="x-none" w:eastAsia="x-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EEA"/>
    <w:pPr>
      <w:keepNext/>
      <w:keepLines/>
      <w:spacing w:line="240" w:lineRule="auto"/>
      <w:ind w:firstLine="0"/>
      <w:outlineLvl w:val="0"/>
    </w:pPr>
    <w:rPr>
      <w:rFonts w:ascii="Arial" w:eastAsiaTheme="majorEastAsia" w:hAnsi="Arial" w:cs="Arial"/>
      <w:b/>
      <w:caps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EEA"/>
    <w:pPr>
      <w:keepNext/>
      <w:keepLines/>
      <w:spacing w:before="40" w:line="240" w:lineRule="auto"/>
      <w:ind w:firstLine="0"/>
      <w:jc w:val="left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EEA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1EEA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EEA"/>
    <w:rPr>
      <w:rFonts w:ascii="Arial" w:eastAsiaTheme="majorEastAsia" w:hAnsi="Arial" w:cs="Arial"/>
      <w:b/>
      <w:caps/>
      <w:sz w:val="52"/>
      <w:szCs w:val="52"/>
      <w:shd w:val="clear" w:color="auto" w:fill="FFFFFF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01EEA"/>
    <w:rPr>
      <w:rFonts w:ascii="Arial" w:eastAsiaTheme="majorEastAsia" w:hAnsi="Arial" w:cs="Arial"/>
      <w:b/>
      <w:sz w:val="26"/>
      <w:szCs w:val="26"/>
      <w:shd w:val="clear" w:color="auto" w:fill="FFFFFF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01EEA"/>
    <w:rPr>
      <w:rFonts w:ascii="Arial" w:eastAsiaTheme="majorEastAsia" w:hAnsi="Arial" w:cs="Arial"/>
      <w:b/>
      <w:color w:val="000000" w:themeColor="text1"/>
      <w:shd w:val="clear" w:color="auto" w:fill="FFFFFF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01EEA"/>
    <w:rPr>
      <w:rFonts w:ascii="Arial" w:eastAsiaTheme="majorEastAsia" w:hAnsi="Arial" w:cs="Arial"/>
      <w:b/>
      <w:i/>
      <w:iCs/>
      <w:color w:val="000000" w:themeColor="text1"/>
      <w:shd w:val="clear" w:color="auto" w:fill="FFFFFF"/>
      <w:lang w:val="x-none" w:eastAsia="x-none"/>
    </w:rPr>
  </w:style>
  <w:style w:type="paragraph" w:styleId="Bezodstpw">
    <w:name w:val="No Spacing"/>
    <w:aliases w:val="Nagłowek B"/>
    <w:link w:val="BezodstpwZnak"/>
    <w:uiPriority w:val="1"/>
    <w:qFormat/>
    <w:rsid w:val="00A01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aliases w:val="Nagłowek B Znak"/>
    <w:link w:val="Bezodstpw"/>
    <w:uiPriority w:val="1"/>
    <w:rsid w:val="00A01EE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1EEA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ksiazkanormalny">
    <w:name w:val="ksiazka_normalny"/>
    <w:basedOn w:val="Normalny"/>
    <w:link w:val="ksiazkanormalnyZnak"/>
    <w:qFormat/>
    <w:rsid w:val="00A01EEA"/>
  </w:style>
  <w:style w:type="character" w:customStyle="1" w:styleId="ksiazkanormalnyZnak">
    <w:name w:val="ksiazka_normalny Znak"/>
    <w:link w:val="ksiazkanormalny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A01EEA"/>
    <w:pPr>
      <w:ind w:left="720"/>
      <w:contextualSpacing/>
    </w:pPr>
  </w:style>
  <w:style w:type="paragraph" w:customStyle="1" w:styleId="VAT">
    <w:name w:val="VAT"/>
    <w:basedOn w:val="Normalny"/>
    <w:link w:val="VATZnak"/>
    <w:qFormat/>
    <w:rsid w:val="00A01EEA"/>
    <w:pPr>
      <w:ind w:firstLine="357"/>
    </w:pPr>
  </w:style>
  <w:style w:type="paragraph" w:customStyle="1" w:styleId="2015">
    <w:name w:val="2015"/>
    <w:basedOn w:val="Normalny"/>
    <w:link w:val="2015Znak"/>
    <w:qFormat/>
    <w:rsid w:val="00A01EEA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CCCCCC"/>
      <w:spacing w:after="80" w:line="260" w:lineRule="exact"/>
      <w:ind w:left="960" w:right="120"/>
    </w:pPr>
    <w:rPr>
      <w:i/>
      <w:iCs/>
    </w:rPr>
  </w:style>
  <w:style w:type="character" w:customStyle="1" w:styleId="VATZnak">
    <w:name w:val="VAT Znak"/>
    <w:link w:val="VAT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character" w:customStyle="1" w:styleId="2015Znak">
    <w:name w:val="2015 Znak"/>
    <w:link w:val="2015"/>
    <w:rsid w:val="00A01EEA"/>
    <w:rPr>
      <w:rFonts w:ascii="Times New Roman" w:eastAsia="Calibri" w:hAnsi="Times New Roman" w:cs="Times New Roman"/>
      <w:i/>
      <w:iCs/>
      <w:shd w:val="clear" w:color="auto" w:fill="CCCCCC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01EEA"/>
    <w:rPr>
      <w:color w:val="0000FF" w:themeColor="hyperlink"/>
      <w:u w:val="single"/>
    </w:rPr>
  </w:style>
  <w:style w:type="paragraph" w:customStyle="1" w:styleId="zmiana">
    <w:name w:val="zmiana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table" w:styleId="Tabela-Siatka">
    <w:name w:val="Table Grid"/>
    <w:basedOn w:val="Standardowy"/>
    <w:uiPriority w:val="39"/>
    <w:rsid w:val="00A0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EEA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EEA"/>
    <w:rPr>
      <w:vertAlign w:val="superscript"/>
    </w:rPr>
  </w:style>
  <w:style w:type="paragraph" w:customStyle="1" w:styleId="Textbody">
    <w:name w:val="Text body"/>
    <w:basedOn w:val="Normalny"/>
    <w:rsid w:val="00A01EEA"/>
    <w:pPr>
      <w:suppressAutoHyphens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01EEA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A01EEA"/>
  </w:style>
  <w:style w:type="paragraph" w:customStyle="1" w:styleId="przykladcien">
    <w:name w:val="przyklad_cien"/>
    <w:basedOn w:val="Normalny"/>
    <w:link w:val="przykladcienZnak"/>
    <w:qFormat/>
    <w:rsid w:val="00A01EEA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CCCCCC"/>
      <w:spacing w:after="80" w:line="260" w:lineRule="exact"/>
      <w:ind w:left="960" w:right="120"/>
    </w:pPr>
    <w:rPr>
      <w:i/>
      <w:iCs/>
    </w:rPr>
  </w:style>
  <w:style w:type="character" w:customStyle="1" w:styleId="przykladcienZnak">
    <w:name w:val="przyklad_cien Znak"/>
    <w:link w:val="przykladcien"/>
    <w:rsid w:val="00A01EEA"/>
    <w:rPr>
      <w:rFonts w:ascii="Times New Roman" w:eastAsia="Calibri" w:hAnsi="Times New Roman" w:cs="Times New Roman"/>
      <w:i/>
      <w:iCs/>
      <w:shd w:val="clear" w:color="auto" w:fill="CCCCCC"/>
      <w:lang w:val="x-none" w:eastAsia="x-none"/>
    </w:rPr>
  </w:style>
  <w:style w:type="paragraph" w:customStyle="1" w:styleId="Styl17">
    <w:name w:val="Styl17"/>
    <w:basedOn w:val="przykladcien"/>
    <w:link w:val="Styl17Znak"/>
    <w:qFormat/>
    <w:rsid w:val="00A01E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958" w:right="119" w:firstLine="357"/>
      <w:contextualSpacing/>
    </w:pPr>
    <w:rPr>
      <w:rFonts w:eastAsia="Times New Roman"/>
      <w:sz w:val="20"/>
      <w:lang w:val="pl-PL" w:eastAsia="pl-PL"/>
    </w:rPr>
  </w:style>
  <w:style w:type="character" w:customStyle="1" w:styleId="Styl17Znak">
    <w:name w:val="Styl17 Znak"/>
    <w:basedOn w:val="Domylnaczcionkaakapitu"/>
    <w:link w:val="Styl17"/>
    <w:rsid w:val="00A01EEA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1EE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1EEA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Standard">
    <w:name w:val="Standard"/>
    <w:rsid w:val="00A01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A01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01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customStyle="1" w:styleId="podtytul">
    <w:name w:val="podtytul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A01EEA"/>
    <w:rPr>
      <w:b/>
      <w:bCs/>
    </w:rPr>
  </w:style>
  <w:style w:type="character" w:styleId="Uwydatnienie">
    <w:name w:val="Emphasis"/>
    <w:basedOn w:val="Domylnaczcionkaakapitu"/>
    <w:uiPriority w:val="20"/>
    <w:qFormat/>
    <w:rsid w:val="00A01EEA"/>
    <w:rPr>
      <w:i/>
      <w:iCs/>
    </w:rPr>
  </w:style>
  <w:style w:type="table" w:customStyle="1" w:styleId="TableGrid">
    <w:name w:val="TableGrid"/>
    <w:rsid w:val="00A01E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A01EEA"/>
    <w:rPr>
      <w:i/>
      <w:iCs/>
      <w:color w:val="4F81BD" w:themeColor="accent1"/>
    </w:rPr>
  </w:style>
  <w:style w:type="paragraph" w:customStyle="1" w:styleId="c08dispositif">
    <w:name w:val="c08dispositif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01EEA"/>
    <w:pPr>
      <w:tabs>
        <w:tab w:val="right" w:leader="dot" w:pos="5942"/>
      </w:tabs>
      <w:spacing w:after="100"/>
      <w:ind w:firstLine="0"/>
    </w:pPr>
    <w:rPr>
      <w:rFonts w:eastAsiaTheme="minorEastAsia"/>
      <w:b/>
      <w:noProof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01EEA"/>
    <w:pPr>
      <w:tabs>
        <w:tab w:val="right" w:leader="dot" w:pos="5942"/>
      </w:tabs>
      <w:spacing w:before="240" w:after="100"/>
      <w:ind w:right="141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A01EEA"/>
    <w:pPr>
      <w:tabs>
        <w:tab w:val="right" w:leader="dot" w:pos="6084"/>
      </w:tabs>
      <w:spacing w:after="100"/>
      <w:ind w:hanging="14"/>
    </w:pPr>
  </w:style>
  <w:style w:type="paragraph" w:styleId="Spistreci4">
    <w:name w:val="toc 4"/>
    <w:basedOn w:val="Normalny"/>
    <w:next w:val="Normalny"/>
    <w:autoRedefine/>
    <w:uiPriority w:val="39"/>
    <w:unhideWhenUsed/>
    <w:rsid w:val="00A01EEA"/>
    <w:pPr>
      <w:tabs>
        <w:tab w:val="right" w:leader="dot" w:pos="6095"/>
      </w:tabs>
      <w:spacing w:line="259" w:lineRule="auto"/>
      <w:ind w:left="425" w:firstLine="0"/>
      <w:mirrorIndents/>
    </w:pPr>
    <w:rPr>
      <w:rFonts w:asciiTheme="minorHAnsi" w:eastAsiaTheme="minorEastAsia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A01EEA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A01EEA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A01EEA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A01EEA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A01EEA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c01pointnumerotealtn">
    <w:name w:val="c01pointnumerotealtn"/>
    <w:basedOn w:val="Normalny"/>
    <w:rsid w:val="00A01EEA"/>
    <w:pPr>
      <w:spacing w:before="100" w:beforeAutospacing="1" w:after="240"/>
      <w:ind w:left="567" w:hanging="539"/>
    </w:pPr>
    <w:rPr>
      <w:rFonts w:eastAsia="Times New Roman"/>
      <w:sz w:val="24"/>
    </w:rPr>
  </w:style>
  <w:style w:type="paragraph" w:customStyle="1" w:styleId="c32dispositifmarge1">
    <w:name w:val="c32dispositifmarge1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EA"/>
    <w:pPr>
      <w:widowControl w:val="0"/>
      <w:shd w:val="clear" w:color="auto" w:fill="FFFFFF"/>
      <w:autoSpaceDE w:val="0"/>
      <w:autoSpaceDN w:val="0"/>
      <w:adjustRightInd w:val="0"/>
      <w:spacing w:after="0" w:line="262" w:lineRule="exact"/>
      <w:ind w:firstLine="360"/>
      <w:jc w:val="both"/>
    </w:pPr>
    <w:rPr>
      <w:rFonts w:ascii="Times New Roman" w:eastAsia="Calibri" w:hAnsi="Times New Roman" w:cs="Times New Roman"/>
      <w:lang w:val="x-none" w:eastAsia="x-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EEA"/>
    <w:pPr>
      <w:keepNext/>
      <w:keepLines/>
      <w:spacing w:line="240" w:lineRule="auto"/>
      <w:ind w:firstLine="0"/>
      <w:outlineLvl w:val="0"/>
    </w:pPr>
    <w:rPr>
      <w:rFonts w:ascii="Arial" w:eastAsiaTheme="majorEastAsia" w:hAnsi="Arial" w:cs="Arial"/>
      <w:b/>
      <w:caps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EEA"/>
    <w:pPr>
      <w:keepNext/>
      <w:keepLines/>
      <w:spacing w:before="40" w:line="240" w:lineRule="auto"/>
      <w:ind w:firstLine="0"/>
      <w:jc w:val="left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EEA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1EEA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EEA"/>
    <w:rPr>
      <w:rFonts w:ascii="Arial" w:eastAsiaTheme="majorEastAsia" w:hAnsi="Arial" w:cs="Arial"/>
      <w:b/>
      <w:caps/>
      <w:sz w:val="52"/>
      <w:szCs w:val="52"/>
      <w:shd w:val="clear" w:color="auto" w:fill="FFFFFF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A01EEA"/>
    <w:rPr>
      <w:rFonts w:ascii="Arial" w:eastAsiaTheme="majorEastAsia" w:hAnsi="Arial" w:cs="Arial"/>
      <w:b/>
      <w:sz w:val="26"/>
      <w:szCs w:val="26"/>
      <w:shd w:val="clear" w:color="auto" w:fill="FFFFFF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01EEA"/>
    <w:rPr>
      <w:rFonts w:ascii="Arial" w:eastAsiaTheme="majorEastAsia" w:hAnsi="Arial" w:cs="Arial"/>
      <w:b/>
      <w:color w:val="000000" w:themeColor="text1"/>
      <w:shd w:val="clear" w:color="auto" w:fill="FFFFFF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01EEA"/>
    <w:rPr>
      <w:rFonts w:ascii="Arial" w:eastAsiaTheme="majorEastAsia" w:hAnsi="Arial" w:cs="Arial"/>
      <w:b/>
      <w:i/>
      <w:iCs/>
      <w:color w:val="000000" w:themeColor="text1"/>
      <w:shd w:val="clear" w:color="auto" w:fill="FFFFFF"/>
      <w:lang w:val="x-none" w:eastAsia="x-none"/>
    </w:rPr>
  </w:style>
  <w:style w:type="paragraph" w:styleId="Bezodstpw">
    <w:name w:val="No Spacing"/>
    <w:aliases w:val="Nagłowek B"/>
    <w:link w:val="BezodstpwZnak"/>
    <w:uiPriority w:val="1"/>
    <w:qFormat/>
    <w:rsid w:val="00A01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aliases w:val="Nagłowek B Znak"/>
    <w:link w:val="Bezodstpw"/>
    <w:uiPriority w:val="1"/>
    <w:rsid w:val="00A01EE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1EEA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en-US"/>
    </w:rPr>
  </w:style>
  <w:style w:type="paragraph" w:customStyle="1" w:styleId="ksiazkanormalny">
    <w:name w:val="ksiazka_normalny"/>
    <w:basedOn w:val="Normalny"/>
    <w:link w:val="ksiazkanormalnyZnak"/>
    <w:qFormat/>
    <w:rsid w:val="00A01EEA"/>
  </w:style>
  <w:style w:type="character" w:customStyle="1" w:styleId="ksiazkanormalnyZnak">
    <w:name w:val="ksiazka_normalny Znak"/>
    <w:link w:val="ksiazkanormalny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A01EEA"/>
    <w:pPr>
      <w:ind w:left="720"/>
      <w:contextualSpacing/>
    </w:pPr>
  </w:style>
  <w:style w:type="paragraph" w:customStyle="1" w:styleId="VAT">
    <w:name w:val="VAT"/>
    <w:basedOn w:val="Normalny"/>
    <w:link w:val="VATZnak"/>
    <w:qFormat/>
    <w:rsid w:val="00A01EEA"/>
    <w:pPr>
      <w:ind w:firstLine="357"/>
    </w:pPr>
  </w:style>
  <w:style w:type="paragraph" w:customStyle="1" w:styleId="2015">
    <w:name w:val="2015"/>
    <w:basedOn w:val="Normalny"/>
    <w:link w:val="2015Znak"/>
    <w:qFormat/>
    <w:rsid w:val="00A01EEA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CCCCCC"/>
      <w:spacing w:after="80" w:line="260" w:lineRule="exact"/>
      <w:ind w:left="960" w:right="120"/>
    </w:pPr>
    <w:rPr>
      <w:i/>
      <w:iCs/>
    </w:rPr>
  </w:style>
  <w:style w:type="character" w:customStyle="1" w:styleId="VATZnak">
    <w:name w:val="VAT Znak"/>
    <w:link w:val="VAT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character" w:customStyle="1" w:styleId="2015Znak">
    <w:name w:val="2015 Znak"/>
    <w:link w:val="2015"/>
    <w:rsid w:val="00A01EEA"/>
    <w:rPr>
      <w:rFonts w:ascii="Times New Roman" w:eastAsia="Calibri" w:hAnsi="Times New Roman" w:cs="Times New Roman"/>
      <w:i/>
      <w:iCs/>
      <w:shd w:val="clear" w:color="auto" w:fill="CCCCCC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01EEA"/>
    <w:rPr>
      <w:color w:val="0000FF" w:themeColor="hyperlink"/>
      <w:u w:val="single"/>
    </w:rPr>
  </w:style>
  <w:style w:type="paragraph" w:customStyle="1" w:styleId="zmiana">
    <w:name w:val="zmiana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table" w:styleId="Tabela-Siatka">
    <w:name w:val="Table Grid"/>
    <w:basedOn w:val="Standardowy"/>
    <w:uiPriority w:val="39"/>
    <w:rsid w:val="00A0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EEA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EEA"/>
    <w:rPr>
      <w:vertAlign w:val="superscript"/>
    </w:rPr>
  </w:style>
  <w:style w:type="paragraph" w:customStyle="1" w:styleId="Textbody">
    <w:name w:val="Text body"/>
    <w:basedOn w:val="Normalny"/>
    <w:rsid w:val="00A01EEA"/>
    <w:pPr>
      <w:suppressAutoHyphens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01EEA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A01EEA"/>
  </w:style>
  <w:style w:type="paragraph" w:customStyle="1" w:styleId="przykladcien">
    <w:name w:val="przyklad_cien"/>
    <w:basedOn w:val="Normalny"/>
    <w:link w:val="przykladcienZnak"/>
    <w:qFormat/>
    <w:rsid w:val="00A01EEA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CCCCCC"/>
      <w:spacing w:after="80" w:line="260" w:lineRule="exact"/>
      <w:ind w:left="960" w:right="120"/>
    </w:pPr>
    <w:rPr>
      <w:i/>
      <w:iCs/>
    </w:rPr>
  </w:style>
  <w:style w:type="character" w:customStyle="1" w:styleId="przykladcienZnak">
    <w:name w:val="przyklad_cien Znak"/>
    <w:link w:val="przykladcien"/>
    <w:rsid w:val="00A01EEA"/>
    <w:rPr>
      <w:rFonts w:ascii="Times New Roman" w:eastAsia="Calibri" w:hAnsi="Times New Roman" w:cs="Times New Roman"/>
      <w:i/>
      <w:iCs/>
      <w:shd w:val="clear" w:color="auto" w:fill="CCCCCC"/>
      <w:lang w:val="x-none" w:eastAsia="x-none"/>
    </w:rPr>
  </w:style>
  <w:style w:type="paragraph" w:customStyle="1" w:styleId="Styl17">
    <w:name w:val="Styl17"/>
    <w:basedOn w:val="przykladcien"/>
    <w:link w:val="Styl17Znak"/>
    <w:qFormat/>
    <w:rsid w:val="00A01E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958" w:right="119" w:firstLine="357"/>
      <w:contextualSpacing/>
    </w:pPr>
    <w:rPr>
      <w:rFonts w:eastAsia="Times New Roman"/>
      <w:sz w:val="20"/>
      <w:lang w:val="pl-PL" w:eastAsia="pl-PL"/>
    </w:rPr>
  </w:style>
  <w:style w:type="character" w:customStyle="1" w:styleId="Styl17Znak">
    <w:name w:val="Styl17 Znak"/>
    <w:basedOn w:val="Domylnaczcionkaakapitu"/>
    <w:link w:val="Styl17"/>
    <w:rsid w:val="00A01EEA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1EE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1EEA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x-none"/>
    </w:rPr>
  </w:style>
  <w:style w:type="paragraph" w:customStyle="1" w:styleId="Standard">
    <w:name w:val="Standard"/>
    <w:rsid w:val="00A01E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A01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01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EEA"/>
    <w:rPr>
      <w:rFonts w:ascii="Times New Roman" w:eastAsia="Calibri" w:hAnsi="Times New Roman" w:cs="Times New Roman"/>
      <w:shd w:val="clear" w:color="auto" w:fill="FFFFFF"/>
      <w:lang w:val="x-none" w:eastAsia="x-none"/>
    </w:rPr>
  </w:style>
  <w:style w:type="paragraph" w:customStyle="1" w:styleId="podtytul">
    <w:name w:val="podtytul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character" w:styleId="Pogrubienie">
    <w:name w:val="Strong"/>
    <w:basedOn w:val="Domylnaczcionkaakapitu"/>
    <w:uiPriority w:val="22"/>
    <w:qFormat/>
    <w:rsid w:val="00A01EEA"/>
    <w:rPr>
      <w:b/>
      <w:bCs/>
    </w:rPr>
  </w:style>
  <w:style w:type="character" w:styleId="Uwydatnienie">
    <w:name w:val="Emphasis"/>
    <w:basedOn w:val="Domylnaczcionkaakapitu"/>
    <w:uiPriority w:val="20"/>
    <w:qFormat/>
    <w:rsid w:val="00A01EEA"/>
    <w:rPr>
      <w:i/>
      <w:iCs/>
    </w:rPr>
  </w:style>
  <w:style w:type="table" w:customStyle="1" w:styleId="TableGrid">
    <w:name w:val="TableGrid"/>
    <w:rsid w:val="00A01E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A01EEA"/>
    <w:rPr>
      <w:i/>
      <w:iCs/>
      <w:color w:val="4F81BD" w:themeColor="accent1"/>
    </w:rPr>
  </w:style>
  <w:style w:type="paragraph" w:customStyle="1" w:styleId="c08dispositif">
    <w:name w:val="c08dispositif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01EEA"/>
    <w:pPr>
      <w:tabs>
        <w:tab w:val="right" w:leader="dot" w:pos="5942"/>
      </w:tabs>
      <w:spacing w:after="100"/>
      <w:ind w:firstLine="0"/>
    </w:pPr>
    <w:rPr>
      <w:rFonts w:eastAsiaTheme="minorEastAsia"/>
      <w:b/>
      <w:noProof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01EEA"/>
    <w:pPr>
      <w:tabs>
        <w:tab w:val="right" w:leader="dot" w:pos="5942"/>
      </w:tabs>
      <w:spacing w:before="240" w:after="100"/>
      <w:ind w:right="141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A01EEA"/>
    <w:pPr>
      <w:tabs>
        <w:tab w:val="right" w:leader="dot" w:pos="6084"/>
      </w:tabs>
      <w:spacing w:after="100"/>
      <w:ind w:hanging="14"/>
    </w:pPr>
  </w:style>
  <w:style w:type="paragraph" w:styleId="Spistreci4">
    <w:name w:val="toc 4"/>
    <w:basedOn w:val="Normalny"/>
    <w:next w:val="Normalny"/>
    <w:autoRedefine/>
    <w:uiPriority w:val="39"/>
    <w:unhideWhenUsed/>
    <w:rsid w:val="00A01EEA"/>
    <w:pPr>
      <w:tabs>
        <w:tab w:val="right" w:leader="dot" w:pos="6095"/>
      </w:tabs>
      <w:spacing w:line="259" w:lineRule="auto"/>
      <w:ind w:left="425" w:firstLine="0"/>
      <w:mirrorIndents/>
    </w:pPr>
    <w:rPr>
      <w:rFonts w:asciiTheme="minorHAnsi" w:eastAsiaTheme="minorEastAsia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A01EEA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A01EEA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A01EEA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A01EEA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A01EEA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c01pointnumerotealtn">
    <w:name w:val="c01pointnumerotealtn"/>
    <w:basedOn w:val="Normalny"/>
    <w:rsid w:val="00A01EEA"/>
    <w:pPr>
      <w:spacing w:before="100" w:beforeAutospacing="1" w:after="240"/>
      <w:ind w:left="567" w:hanging="539"/>
    </w:pPr>
    <w:rPr>
      <w:rFonts w:eastAsia="Times New Roman"/>
      <w:sz w:val="24"/>
    </w:rPr>
  </w:style>
  <w:style w:type="paragraph" w:customStyle="1" w:styleId="c32dispositifmarge1">
    <w:name w:val="c32dispositifmarge1"/>
    <w:basedOn w:val="Normalny"/>
    <w:rsid w:val="00A01EEA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osacka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biuro@kosacka.pl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6B57-731D-4914-BE16-A9759AF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2015-07-10T06:13:00Z</cp:lastPrinted>
  <dcterms:created xsi:type="dcterms:W3CDTF">2015-07-10T06:14:00Z</dcterms:created>
  <dcterms:modified xsi:type="dcterms:W3CDTF">2015-07-10T06:14:00Z</dcterms:modified>
</cp:coreProperties>
</file>